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D5C87" w14:textId="77777777" w:rsidR="00EB54CF" w:rsidRPr="00F721D5" w:rsidRDefault="00EB54CF" w:rsidP="00EB54CF">
      <w:pPr>
        <w:jc w:val="center"/>
        <w:rPr>
          <w:rFonts w:ascii="Times New Roman" w:hAnsi="Times New Roman" w:cs="Times New Roman"/>
          <w:b/>
          <w:sz w:val="24"/>
          <w:szCs w:val="24"/>
        </w:rPr>
      </w:pPr>
      <w:r w:rsidRPr="00F721D5">
        <w:rPr>
          <w:rFonts w:ascii="Times New Roman" w:hAnsi="Times New Roman" w:cs="Times New Roman"/>
          <w:b/>
          <w:sz w:val="24"/>
          <w:szCs w:val="24"/>
        </w:rPr>
        <w:t>Доклад на ХVII Международной научной конференции по проблемам</w:t>
      </w:r>
    </w:p>
    <w:p w14:paraId="06837B31" w14:textId="77777777" w:rsidR="00EB54CF" w:rsidRDefault="00EB54CF" w:rsidP="00EB54CF">
      <w:pPr>
        <w:jc w:val="center"/>
        <w:rPr>
          <w:rFonts w:ascii="Times New Roman" w:hAnsi="Times New Roman" w:cs="Times New Roman"/>
          <w:b/>
          <w:sz w:val="24"/>
          <w:szCs w:val="24"/>
        </w:rPr>
      </w:pPr>
      <w:r w:rsidRPr="00F721D5">
        <w:rPr>
          <w:rFonts w:ascii="Times New Roman" w:hAnsi="Times New Roman" w:cs="Times New Roman"/>
          <w:b/>
          <w:sz w:val="24"/>
          <w:szCs w:val="24"/>
        </w:rPr>
        <w:t>развития экономики и общества НИУ ВШЭ, Апрель 2016</w:t>
      </w:r>
    </w:p>
    <w:p w14:paraId="7D19B999" w14:textId="77777777" w:rsidR="00EB54CF" w:rsidRDefault="00EB54CF" w:rsidP="00EB54CF">
      <w:pPr>
        <w:jc w:val="center"/>
        <w:rPr>
          <w:rFonts w:ascii="Times New Roman" w:hAnsi="Times New Roman" w:cs="Times New Roman"/>
          <w:b/>
          <w:sz w:val="24"/>
          <w:szCs w:val="24"/>
        </w:rPr>
      </w:pPr>
    </w:p>
    <w:p w14:paraId="5EF228A1" w14:textId="0848C4E3" w:rsidR="00EB54CF" w:rsidRPr="008F3D43" w:rsidRDefault="00EB54CF" w:rsidP="00EB54CF">
      <w:pPr>
        <w:jc w:val="center"/>
        <w:rPr>
          <w:rFonts w:ascii="Times New Roman" w:hAnsi="Times New Roman" w:cs="Times New Roman"/>
          <w:b/>
          <w:sz w:val="24"/>
          <w:szCs w:val="24"/>
        </w:rPr>
      </w:pPr>
      <w:r>
        <w:rPr>
          <w:rFonts w:ascii="Times New Roman" w:hAnsi="Times New Roman" w:cs="Times New Roman"/>
          <w:b/>
          <w:sz w:val="24"/>
          <w:szCs w:val="24"/>
        </w:rPr>
        <w:t xml:space="preserve">Экономика России: </w:t>
      </w:r>
      <w:r w:rsidR="00A5155A">
        <w:rPr>
          <w:rFonts w:ascii="Times New Roman" w:hAnsi="Times New Roman" w:cs="Times New Roman"/>
          <w:b/>
          <w:sz w:val="24"/>
          <w:szCs w:val="24"/>
        </w:rPr>
        <w:t xml:space="preserve">перед долгим переходом </w:t>
      </w:r>
      <w:r>
        <w:rPr>
          <w:rFonts w:ascii="Times New Roman" w:hAnsi="Times New Roman" w:cs="Times New Roman"/>
          <w:b/>
          <w:sz w:val="24"/>
          <w:szCs w:val="24"/>
        </w:rPr>
        <w:t xml:space="preserve"> </w:t>
      </w:r>
    </w:p>
    <w:p w14:paraId="0B0D80AF" w14:textId="64A26D6A" w:rsidR="00EB54CF" w:rsidRPr="007C57FE" w:rsidRDefault="00A5155A" w:rsidP="00EB54CF">
      <w:pPr>
        <w:jc w:val="center"/>
        <w:rPr>
          <w:rFonts w:ascii="Times New Roman" w:hAnsi="Times New Roman" w:cs="Times New Roman"/>
          <w:sz w:val="24"/>
          <w:szCs w:val="24"/>
        </w:rPr>
      </w:pPr>
      <w:r w:rsidRPr="00F721D5">
        <w:rPr>
          <w:rFonts w:ascii="Times New Roman" w:hAnsi="Times New Roman" w:cs="Times New Roman"/>
          <w:sz w:val="24"/>
          <w:szCs w:val="24"/>
        </w:rPr>
        <w:t>Акиндинова Н.</w:t>
      </w:r>
      <w:r w:rsidRPr="007C57FE">
        <w:rPr>
          <w:rFonts w:ascii="Times New Roman" w:hAnsi="Times New Roman" w:cs="Times New Roman"/>
          <w:sz w:val="24"/>
          <w:szCs w:val="24"/>
        </w:rPr>
        <w:t xml:space="preserve">В., </w:t>
      </w:r>
      <w:r w:rsidR="00EB54CF" w:rsidRPr="007C57FE">
        <w:rPr>
          <w:rFonts w:ascii="Times New Roman" w:hAnsi="Times New Roman" w:cs="Times New Roman"/>
          <w:sz w:val="24"/>
          <w:szCs w:val="24"/>
        </w:rPr>
        <w:t>Кузьминов Я.И., Ясин Е.Г.</w:t>
      </w:r>
    </w:p>
    <w:p w14:paraId="200E6509" w14:textId="77777777" w:rsidR="00EB54CF" w:rsidRDefault="00EB54CF" w:rsidP="00EB54CF">
      <w:pPr>
        <w:jc w:val="center"/>
        <w:rPr>
          <w:rFonts w:ascii="Times New Roman" w:hAnsi="Times New Roman" w:cs="Times New Roman"/>
          <w:b/>
          <w:sz w:val="24"/>
          <w:szCs w:val="24"/>
        </w:rPr>
      </w:pPr>
    </w:p>
    <w:p w14:paraId="6346CB3B" w14:textId="77777777" w:rsidR="00EB54CF" w:rsidRPr="00CF0A15" w:rsidRDefault="00EB54CF" w:rsidP="00EB54CF">
      <w:pPr>
        <w:rPr>
          <w:rFonts w:ascii="Times New Roman" w:hAnsi="Times New Roman" w:cs="Times New Roman"/>
          <w:b/>
          <w:sz w:val="24"/>
          <w:szCs w:val="24"/>
        </w:rPr>
      </w:pPr>
      <w:r w:rsidRPr="00CF0A15">
        <w:rPr>
          <w:rFonts w:ascii="Times New Roman" w:hAnsi="Times New Roman" w:cs="Times New Roman"/>
          <w:b/>
          <w:sz w:val="24"/>
          <w:szCs w:val="24"/>
        </w:rPr>
        <w:t>Оглавление</w:t>
      </w:r>
    </w:p>
    <w:p w14:paraId="2DEF82C8" w14:textId="77777777" w:rsidR="00EB54CF" w:rsidRDefault="00EB54CF" w:rsidP="00EB54CF">
      <w:pPr>
        <w:rPr>
          <w:rFonts w:ascii="Times New Roman" w:hAnsi="Times New Roman" w:cs="Times New Roman"/>
          <w:sz w:val="24"/>
          <w:szCs w:val="24"/>
        </w:rPr>
      </w:pPr>
      <w:r>
        <w:rPr>
          <w:rFonts w:ascii="Times New Roman" w:hAnsi="Times New Roman" w:cs="Times New Roman"/>
          <w:sz w:val="24"/>
          <w:szCs w:val="24"/>
        </w:rPr>
        <w:t xml:space="preserve">Часть 1. </w:t>
      </w:r>
      <w:r w:rsidRPr="007C2EF4">
        <w:rPr>
          <w:rFonts w:ascii="Times New Roman" w:hAnsi="Times New Roman" w:cs="Times New Roman"/>
          <w:sz w:val="24"/>
          <w:szCs w:val="24"/>
        </w:rPr>
        <w:t>Россия на экономической карте мира: достижения и неудачи</w:t>
      </w:r>
      <w:r>
        <w:rPr>
          <w:rFonts w:ascii="Times New Roman" w:hAnsi="Times New Roman" w:cs="Times New Roman"/>
          <w:sz w:val="24"/>
          <w:szCs w:val="24"/>
        </w:rPr>
        <w:t>.</w:t>
      </w:r>
    </w:p>
    <w:p w14:paraId="5878FF28" w14:textId="77777777" w:rsidR="00EB54CF" w:rsidRDefault="00EB54CF" w:rsidP="00EB54CF">
      <w:pPr>
        <w:rPr>
          <w:rFonts w:ascii="Times New Roman" w:hAnsi="Times New Roman" w:cs="Times New Roman"/>
          <w:sz w:val="24"/>
          <w:szCs w:val="24"/>
        </w:rPr>
      </w:pPr>
      <w:r>
        <w:rPr>
          <w:rFonts w:ascii="Times New Roman" w:hAnsi="Times New Roman" w:cs="Times New Roman"/>
          <w:sz w:val="24"/>
          <w:szCs w:val="24"/>
        </w:rPr>
        <w:t>Часть 2. Коротко о пройденном пути.</w:t>
      </w:r>
    </w:p>
    <w:p w14:paraId="34E18CD4" w14:textId="77777777" w:rsidR="00EB54CF" w:rsidRDefault="00EB54CF" w:rsidP="00EB54CF">
      <w:pPr>
        <w:rPr>
          <w:rFonts w:ascii="Times New Roman" w:hAnsi="Times New Roman" w:cs="Times New Roman"/>
          <w:sz w:val="24"/>
          <w:szCs w:val="24"/>
        </w:rPr>
      </w:pPr>
      <w:r>
        <w:rPr>
          <w:rFonts w:ascii="Times New Roman" w:hAnsi="Times New Roman" w:cs="Times New Roman"/>
          <w:sz w:val="24"/>
          <w:szCs w:val="24"/>
        </w:rPr>
        <w:t>2.1. Цены на нефть.</w:t>
      </w:r>
    </w:p>
    <w:p w14:paraId="4BE47F0D" w14:textId="77777777" w:rsidR="00EB54CF" w:rsidRDefault="00EB54CF" w:rsidP="00EB54CF">
      <w:pPr>
        <w:rPr>
          <w:rFonts w:ascii="Times New Roman" w:hAnsi="Times New Roman" w:cs="Times New Roman"/>
          <w:sz w:val="24"/>
          <w:szCs w:val="24"/>
        </w:rPr>
      </w:pPr>
      <w:r>
        <w:rPr>
          <w:rFonts w:ascii="Times New Roman" w:hAnsi="Times New Roman" w:cs="Times New Roman"/>
          <w:sz w:val="24"/>
          <w:szCs w:val="24"/>
        </w:rPr>
        <w:t>2.2. Перестройка и реформы.</w:t>
      </w:r>
    </w:p>
    <w:p w14:paraId="17EAEDFE" w14:textId="77777777" w:rsidR="00EB54CF" w:rsidRDefault="00EB54CF" w:rsidP="00EB54CF">
      <w:pPr>
        <w:rPr>
          <w:rFonts w:ascii="Times New Roman" w:hAnsi="Times New Roman" w:cs="Times New Roman"/>
          <w:sz w:val="24"/>
          <w:szCs w:val="24"/>
        </w:rPr>
      </w:pPr>
      <w:r>
        <w:rPr>
          <w:rFonts w:ascii="Times New Roman" w:hAnsi="Times New Roman" w:cs="Times New Roman"/>
          <w:sz w:val="24"/>
          <w:szCs w:val="24"/>
        </w:rPr>
        <w:t>2.3. «Путинский» период.</w:t>
      </w:r>
    </w:p>
    <w:p w14:paraId="2AB8DBB4" w14:textId="77777777" w:rsidR="00EB54CF" w:rsidRDefault="00EB54CF" w:rsidP="00EB54CF">
      <w:pPr>
        <w:rPr>
          <w:rFonts w:ascii="Times New Roman" w:hAnsi="Times New Roman" w:cs="Times New Roman"/>
          <w:sz w:val="24"/>
          <w:szCs w:val="24"/>
        </w:rPr>
      </w:pPr>
      <w:r>
        <w:rPr>
          <w:rFonts w:ascii="Times New Roman" w:hAnsi="Times New Roman" w:cs="Times New Roman"/>
          <w:sz w:val="24"/>
          <w:szCs w:val="24"/>
        </w:rPr>
        <w:t>Часть 3</w:t>
      </w:r>
      <w:r w:rsidRPr="0074175D">
        <w:rPr>
          <w:rFonts w:ascii="Times New Roman" w:hAnsi="Times New Roman" w:cs="Times New Roman"/>
          <w:sz w:val="24"/>
          <w:szCs w:val="24"/>
        </w:rPr>
        <w:t>.</w:t>
      </w:r>
      <w:r>
        <w:rPr>
          <w:rFonts w:ascii="Times New Roman" w:hAnsi="Times New Roman" w:cs="Times New Roman"/>
          <w:sz w:val="24"/>
          <w:szCs w:val="24"/>
        </w:rPr>
        <w:t xml:space="preserve"> </w:t>
      </w:r>
      <w:r w:rsidRPr="00BE340E">
        <w:rPr>
          <w:rFonts w:ascii="Times New Roman" w:hAnsi="Times New Roman" w:cs="Times New Roman"/>
          <w:sz w:val="24"/>
          <w:szCs w:val="24"/>
        </w:rPr>
        <w:t>Трехсекторная экономика и ее ожидаемая эволюция</w:t>
      </w:r>
      <w:r>
        <w:rPr>
          <w:rFonts w:ascii="Times New Roman" w:hAnsi="Times New Roman" w:cs="Times New Roman"/>
          <w:sz w:val="24"/>
          <w:szCs w:val="24"/>
        </w:rPr>
        <w:t>.</w:t>
      </w:r>
    </w:p>
    <w:p w14:paraId="10D1453C" w14:textId="77777777" w:rsidR="00EB54CF" w:rsidRDefault="00EB54CF" w:rsidP="00EB54CF">
      <w:pPr>
        <w:rPr>
          <w:rFonts w:ascii="Times New Roman" w:hAnsi="Times New Roman" w:cs="Times New Roman"/>
          <w:sz w:val="24"/>
          <w:szCs w:val="24"/>
        </w:rPr>
      </w:pPr>
      <w:r>
        <w:rPr>
          <w:rFonts w:ascii="Times New Roman" w:hAnsi="Times New Roman" w:cs="Times New Roman"/>
          <w:sz w:val="24"/>
          <w:szCs w:val="24"/>
        </w:rPr>
        <w:t xml:space="preserve">Часть 4. </w:t>
      </w:r>
      <w:r w:rsidRPr="00BE340E">
        <w:rPr>
          <w:rFonts w:ascii="Times New Roman" w:hAnsi="Times New Roman" w:cs="Times New Roman"/>
          <w:sz w:val="24"/>
          <w:szCs w:val="24"/>
        </w:rPr>
        <w:t>Новая реальность и переход к новому равновесию</w:t>
      </w:r>
      <w:r>
        <w:rPr>
          <w:rFonts w:ascii="Times New Roman" w:hAnsi="Times New Roman" w:cs="Times New Roman"/>
          <w:sz w:val="24"/>
          <w:szCs w:val="24"/>
        </w:rPr>
        <w:t>.</w:t>
      </w:r>
    </w:p>
    <w:p w14:paraId="3CE70243" w14:textId="38C4DF4B" w:rsidR="00CD7163" w:rsidRDefault="00CD7163" w:rsidP="00CD7163">
      <w:pPr>
        <w:rPr>
          <w:rFonts w:ascii="Times New Roman" w:hAnsi="Times New Roman" w:cs="Times New Roman"/>
          <w:sz w:val="24"/>
          <w:szCs w:val="24"/>
        </w:rPr>
      </w:pPr>
      <w:r w:rsidRPr="00CD7163">
        <w:rPr>
          <w:rFonts w:ascii="Times New Roman" w:hAnsi="Times New Roman" w:cs="Times New Roman"/>
          <w:sz w:val="24"/>
          <w:szCs w:val="24"/>
        </w:rPr>
        <w:t>4.1. Базовые условия перехода</w:t>
      </w:r>
      <w:r w:rsidR="00614B76">
        <w:rPr>
          <w:rFonts w:ascii="Times New Roman" w:hAnsi="Times New Roman" w:cs="Times New Roman"/>
          <w:sz w:val="24"/>
          <w:szCs w:val="24"/>
        </w:rPr>
        <w:t>.</w:t>
      </w:r>
    </w:p>
    <w:p w14:paraId="02886849" w14:textId="6138F780" w:rsidR="00E73354" w:rsidRDefault="00CD7163" w:rsidP="00CD7163">
      <w:pPr>
        <w:rPr>
          <w:rFonts w:ascii="Times New Roman" w:hAnsi="Times New Roman" w:cs="Times New Roman"/>
          <w:sz w:val="24"/>
          <w:szCs w:val="24"/>
        </w:rPr>
      </w:pPr>
      <w:r w:rsidRPr="00CD7163">
        <w:rPr>
          <w:rFonts w:ascii="Times New Roman" w:hAnsi="Times New Roman" w:cs="Times New Roman"/>
          <w:sz w:val="24"/>
          <w:szCs w:val="24"/>
        </w:rPr>
        <w:t>4.2. Бюджетные проблемы</w:t>
      </w:r>
      <w:r>
        <w:rPr>
          <w:rFonts w:ascii="Times New Roman" w:hAnsi="Times New Roman" w:cs="Times New Roman"/>
          <w:sz w:val="24"/>
          <w:szCs w:val="24"/>
        </w:rPr>
        <w:t>.</w:t>
      </w:r>
    </w:p>
    <w:p w14:paraId="0C71701E" w14:textId="77777777" w:rsidR="00F5069B" w:rsidRDefault="00CD7163" w:rsidP="00CD7163">
      <w:pPr>
        <w:rPr>
          <w:rFonts w:ascii="Times New Roman" w:hAnsi="Times New Roman" w:cs="Times New Roman"/>
          <w:sz w:val="24"/>
          <w:szCs w:val="24"/>
        </w:rPr>
      </w:pPr>
      <w:r w:rsidRPr="00CD7163">
        <w:rPr>
          <w:rFonts w:ascii="Times New Roman" w:hAnsi="Times New Roman" w:cs="Times New Roman"/>
          <w:sz w:val="24"/>
          <w:szCs w:val="24"/>
        </w:rPr>
        <w:t>4.3. Социальные процессы</w:t>
      </w:r>
      <w:r w:rsidR="00F5069B">
        <w:rPr>
          <w:rFonts w:ascii="Times New Roman" w:hAnsi="Times New Roman" w:cs="Times New Roman"/>
          <w:sz w:val="24"/>
          <w:szCs w:val="24"/>
        </w:rPr>
        <w:t>.</w:t>
      </w:r>
    </w:p>
    <w:p w14:paraId="36331853" w14:textId="1486F788" w:rsidR="00CD7163" w:rsidRDefault="00F5069B" w:rsidP="00CD7163">
      <w:pPr>
        <w:rPr>
          <w:rFonts w:ascii="Times New Roman" w:hAnsi="Times New Roman" w:cs="Times New Roman"/>
          <w:sz w:val="24"/>
          <w:szCs w:val="24"/>
        </w:rPr>
      </w:pPr>
      <w:r w:rsidRPr="00F5069B">
        <w:rPr>
          <w:rFonts w:ascii="Times New Roman" w:hAnsi="Times New Roman" w:cs="Times New Roman"/>
          <w:sz w:val="24"/>
          <w:szCs w:val="24"/>
        </w:rPr>
        <w:t>Часть 5. Политические контуры трансформации</w:t>
      </w:r>
      <w:r w:rsidR="00CD7163" w:rsidRPr="00CD7163">
        <w:rPr>
          <w:rFonts w:ascii="Times New Roman" w:hAnsi="Times New Roman" w:cs="Times New Roman"/>
          <w:sz w:val="24"/>
          <w:szCs w:val="24"/>
        </w:rPr>
        <w:t>.</w:t>
      </w:r>
    </w:p>
    <w:p w14:paraId="18D2CACA" w14:textId="2FBD7EC1" w:rsidR="00F5069B" w:rsidRDefault="00F5069B" w:rsidP="00CD7163">
      <w:pPr>
        <w:rPr>
          <w:rFonts w:ascii="Times New Roman" w:hAnsi="Times New Roman" w:cs="Times New Roman"/>
          <w:sz w:val="24"/>
          <w:szCs w:val="24"/>
        </w:rPr>
      </w:pPr>
      <w:r>
        <w:rPr>
          <w:rFonts w:ascii="Times New Roman" w:hAnsi="Times New Roman" w:cs="Times New Roman"/>
          <w:sz w:val="24"/>
          <w:szCs w:val="24"/>
        </w:rPr>
        <w:t>5.1. Сценарии 2012 года.</w:t>
      </w:r>
    </w:p>
    <w:p w14:paraId="69BA6B91" w14:textId="1BA29B99" w:rsidR="00F5069B" w:rsidRDefault="00F5069B" w:rsidP="00CD7163">
      <w:pPr>
        <w:rPr>
          <w:rFonts w:ascii="Times New Roman" w:hAnsi="Times New Roman" w:cs="Times New Roman"/>
          <w:sz w:val="24"/>
          <w:szCs w:val="24"/>
        </w:rPr>
      </w:pPr>
      <w:r>
        <w:rPr>
          <w:rFonts w:ascii="Times New Roman" w:hAnsi="Times New Roman" w:cs="Times New Roman"/>
          <w:sz w:val="24"/>
          <w:szCs w:val="24"/>
        </w:rPr>
        <w:t>5.2. Опрос экспертов.</w:t>
      </w:r>
    </w:p>
    <w:p w14:paraId="109ABF1E" w14:textId="4837EAD0" w:rsidR="00F5069B" w:rsidRDefault="00F5069B" w:rsidP="00CD7163">
      <w:pPr>
        <w:rPr>
          <w:rFonts w:ascii="Times New Roman" w:hAnsi="Times New Roman" w:cs="Times New Roman"/>
          <w:sz w:val="24"/>
          <w:szCs w:val="24"/>
        </w:rPr>
      </w:pPr>
      <w:r>
        <w:rPr>
          <w:rFonts w:ascii="Times New Roman" w:hAnsi="Times New Roman" w:cs="Times New Roman"/>
          <w:sz w:val="24"/>
          <w:szCs w:val="24"/>
        </w:rPr>
        <w:t>Вместо заключения.</w:t>
      </w:r>
    </w:p>
    <w:p w14:paraId="66F0E3AF" w14:textId="77777777" w:rsidR="00F5069B" w:rsidRPr="00CD7163" w:rsidRDefault="00F5069B" w:rsidP="00CD7163">
      <w:pPr>
        <w:rPr>
          <w:rFonts w:ascii="Times New Roman" w:hAnsi="Times New Roman" w:cs="Times New Roman"/>
          <w:sz w:val="24"/>
          <w:szCs w:val="24"/>
        </w:rPr>
      </w:pPr>
    </w:p>
    <w:p w14:paraId="7D460047" w14:textId="77777777" w:rsidR="00EB54CF" w:rsidRDefault="00EB54CF" w:rsidP="00F27817">
      <w:pPr>
        <w:pStyle w:val="af0"/>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br w:type="page"/>
      </w:r>
    </w:p>
    <w:p w14:paraId="46155A2A" w14:textId="5C532883" w:rsidR="00487C4B" w:rsidRPr="009310E6" w:rsidRDefault="005622B5" w:rsidP="00444466">
      <w:pPr>
        <w:pStyle w:val="af0"/>
        <w:spacing w:line="360" w:lineRule="auto"/>
        <w:ind w:left="284"/>
        <w:jc w:val="both"/>
        <w:rPr>
          <w:rFonts w:ascii="Times New Roman" w:hAnsi="Times New Roman" w:cs="Times New Roman"/>
          <w:b/>
          <w:sz w:val="28"/>
          <w:szCs w:val="28"/>
        </w:rPr>
      </w:pPr>
      <w:r w:rsidRPr="009310E6">
        <w:rPr>
          <w:rFonts w:ascii="Times New Roman" w:hAnsi="Times New Roman" w:cs="Times New Roman"/>
          <w:b/>
          <w:sz w:val="28"/>
          <w:szCs w:val="28"/>
        </w:rPr>
        <w:lastRenderedPageBreak/>
        <w:t xml:space="preserve">Часть 1. </w:t>
      </w:r>
      <w:r w:rsidR="00487C4B" w:rsidRPr="009310E6">
        <w:rPr>
          <w:rFonts w:ascii="Times New Roman" w:hAnsi="Times New Roman" w:cs="Times New Roman"/>
          <w:b/>
          <w:sz w:val="28"/>
          <w:szCs w:val="28"/>
        </w:rPr>
        <w:t>Росси</w:t>
      </w:r>
      <w:r w:rsidRPr="009310E6">
        <w:rPr>
          <w:rFonts w:ascii="Times New Roman" w:hAnsi="Times New Roman" w:cs="Times New Roman"/>
          <w:b/>
          <w:sz w:val="28"/>
          <w:szCs w:val="28"/>
        </w:rPr>
        <w:t>я на экономической карте мира</w:t>
      </w:r>
      <w:r w:rsidR="00290B42" w:rsidRPr="009310E6">
        <w:rPr>
          <w:rFonts w:ascii="Times New Roman" w:hAnsi="Times New Roman" w:cs="Times New Roman"/>
          <w:b/>
          <w:sz w:val="28"/>
          <w:szCs w:val="28"/>
        </w:rPr>
        <w:t xml:space="preserve">: достижения и </w:t>
      </w:r>
      <w:r w:rsidR="009470F0" w:rsidRPr="009310E6">
        <w:rPr>
          <w:rFonts w:ascii="Times New Roman" w:hAnsi="Times New Roman" w:cs="Times New Roman"/>
          <w:b/>
          <w:sz w:val="28"/>
          <w:szCs w:val="28"/>
        </w:rPr>
        <w:t>не</w:t>
      </w:r>
      <w:r w:rsidR="00555D6A" w:rsidRPr="009310E6">
        <w:rPr>
          <w:rFonts w:ascii="Times New Roman" w:hAnsi="Times New Roman" w:cs="Times New Roman"/>
          <w:b/>
          <w:sz w:val="28"/>
          <w:szCs w:val="28"/>
        </w:rPr>
        <w:t>удач</w:t>
      </w:r>
      <w:r w:rsidR="009470F0" w:rsidRPr="009310E6">
        <w:rPr>
          <w:rFonts w:ascii="Times New Roman" w:hAnsi="Times New Roman" w:cs="Times New Roman"/>
          <w:b/>
          <w:sz w:val="28"/>
          <w:szCs w:val="28"/>
        </w:rPr>
        <w:t>и</w:t>
      </w:r>
    </w:p>
    <w:p w14:paraId="3C30C617" w14:textId="208A6CE1" w:rsidR="00487C4B" w:rsidRPr="00F27817" w:rsidRDefault="00487C4B" w:rsidP="00F27817">
      <w:pPr>
        <w:spacing w:line="360" w:lineRule="auto"/>
        <w:ind w:firstLine="709"/>
        <w:jc w:val="both"/>
        <w:rPr>
          <w:rFonts w:ascii="Times New Roman" w:hAnsi="Times New Roman" w:cs="Times New Roman"/>
          <w:sz w:val="24"/>
          <w:szCs w:val="24"/>
        </w:rPr>
      </w:pPr>
      <w:r w:rsidRPr="00F27817">
        <w:rPr>
          <w:rFonts w:ascii="Times New Roman" w:hAnsi="Times New Roman" w:cs="Times New Roman"/>
          <w:sz w:val="24"/>
          <w:szCs w:val="24"/>
        </w:rPr>
        <w:t>За период с начала 90-х годов среднедушевой ВВП России, измеренный по паритету покупательной способности (ППС)</w:t>
      </w:r>
      <w:r w:rsidR="007C7B04">
        <w:rPr>
          <w:rFonts w:ascii="Times New Roman" w:hAnsi="Times New Roman" w:cs="Times New Roman"/>
          <w:sz w:val="24"/>
          <w:szCs w:val="24"/>
        </w:rPr>
        <w:t>,</w:t>
      </w:r>
      <w:r w:rsidRPr="00F27817">
        <w:rPr>
          <w:rFonts w:ascii="Times New Roman" w:hAnsi="Times New Roman" w:cs="Times New Roman"/>
          <w:sz w:val="24"/>
          <w:szCs w:val="24"/>
        </w:rPr>
        <w:t xml:space="preserve"> увеличился в 2,5 раза и сейчас составляет</w:t>
      </w:r>
      <w:r w:rsidR="007C7B04">
        <w:rPr>
          <w:rFonts w:ascii="Times New Roman" w:hAnsi="Times New Roman" w:cs="Times New Roman"/>
          <w:sz w:val="24"/>
          <w:szCs w:val="24"/>
        </w:rPr>
        <w:t xml:space="preserve"> около</w:t>
      </w:r>
      <w:r w:rsidRPr="00F27817">
        <w:rPr>
          <w:rFonts w:ascii="Times New Roman" w:hAnsi="Times New Roman" w:cs="Times New Roman"/>
          <w:sz w:val="24"/>
          <w:szCs w:val="24"/>
        </w:rPr>
        <w:t xml:space="preserve"> 24 тыс. долл. (по оценке МВФ), что позволяет относить ее к категории </w:t>
      </w:r>
      <w:r w:rsidRPr="008552EB">
        <w:rPr>
          <w:rFonts w:ascii="Times New Roman" w:hAnsi="Times New Roman" w:cs="Times New Roman"/>
          <w:b/>
          <w:sz w:val="24"/>
          <w:szCs w:val="24"/>
        </w:rPr>
        <w:t>стран со средним уровнем дохода</w:t>
      </w:r>
      <w:r w:rsidRPr="00F27817">
        <w:rPr>
          <w:rFonts w:ascii="Times New Roman" w:hAnsi="Times New Roman" w:cs="Times New Roman"/>
          <w:sz w:val="24"/>
          <w:szCs w:val="24"/>
        </w:rPr>
        <w:t xml:space="preserve">. </w:t>
      </w:r>
      <w:r w:rsidR="00141E47">
        <w:rPr>
          <w:rFonts w:ascii="Times New Roman" w:hAnsi="Times New Roman" w:cs="Times New Roman"/>
          <w:sz w:val="24"/>
          <w:szCs w:val="24"/>
        </w:rPr>
        <w:t>Исходя из</w:t>
      </w:r>
      <w:r w:rsidR="007C7B04">
        <w:rPr>
          <w:rFonts w:ascii="Times New Roman" w:hAnsi="Times New Roman" w:cs="Times New Roman"/>
          <w:sz w:val="24"/>
          <w:szCs w:val="24"/>
        </w:rPr>
        <w:t xml:space="preserve"> динамик</w:t>
      </w:r>
      <w:r w:rsidR="00141E47">
        <w:rPr>
          <w:rFonts w:ascii="Times New Roman" w:hAnsi="Times New Roman" w:cs="Times New Roman"/>
          <w:sz w:val="24"/>
          <w:szCs w:val="24"/>
        </w:rPr>
        <w:t>и этого показателя,</w:t>
      </w:r>
      <w:r w:rsidR="007C7B04">
        <w:rPr>
          <w:rFonts w:ascii="Times New Roman" w:hAnsi="Times New Roman" w:cs="Times New Roman"/>
          <w:sz w:val="24"/>
          <w:szCs w:val="24"/>
        </w:rPr>
        <w:t xml:space="preserve"> </w:t>
      </w:r>
      <w:r w:rsidRPr="00F27817">
        <w:rPr>
          <w:rFonts w:ascii="Times New Roman" w:hAnsi="Times New Roman" w:cs="Times New Roman"/>
          <w:sz w:val="24"/>
          <w:szCs w:val="24"/>
        </w:rPr>
        <w:t>Россия</w:t>
      </w:r>
      <w:r w:rsidR="00141E47">
        <w:rPr>
          <w:rFonts w:ascii="Times New Roman" w:hAnsi="Times New Roman" w:cs="Times New Roman"/>
          <w:sz w:val="24"/>
          <w:szCs w:val="24"/>
        </w:rPr>
        <w:t xml:space="preserve"> развивалась синхронно со странами </w:t>
      </w:r>
      <w:r w:rsidR="00F27817">
        <w:rPr>
          <w:rFonts w:ascii="Times New Roman" w:hAnsi="Times New Roman" w:cs="Times New Roman"/>
          <w:sz w:val="24"/>
          <w:szCs w:val="24"/>
        </w:rPr>
        <w:t>Централь</w:t>
      </w:r>
      <w:r w:rsidR="00F27817" w:rsidRPr="00F27817">
        <w:rPr>
          <w:rFonts w:ascii="Times New Roman" w:hAnsi="Times New Roman" w:cs="Times New Roman"/>
          <w:sz w:val="24"/>
          <w:szCs w:val="24"/>
        </w:rPr>
        <w:t xml:space="preserve">ной </w:t>
      </w:r>
      <w:r w:rsidRPr="00F27817">
        <w:rPr>
          <w:rFonts w:ascii="Times New Roman" w:hAnsi="Times New Roman" w:cs="Times New Roman"/>
          <w:sz w:val="24"/>
          <w:szCs w:val="24"/>
        </w:rPr>
        <w:t>Европы</w:t>
      </w:r>
      <w:r w:rsidR="00F27817">
        <w:rPr>
          <w:rFonts w:ascii="Times New Roman" w:hAnsi="Times New Roman" w:cs="Times New Roman"/>
          <w:sz w:val="24"/>
          <w:szCs w:val="24"/>
        </w:rPr>
        <w:t xml:space="preserve"> (бывшими странами </w:t>
      </w:r>
      <w:proofErr w:type="spellStart"/>
      <w:r w:rsidR="00F27817">
        <w:rPr>
          <w:rFonts w:ascii="Times New Roman" w:hAnsi="Times New Roman" w:cs="Times New Roman"/>
          <w:sz w:val="24"/>
          <w:szCs w:val="24"/>
        </w:rPr>
        <w:t>соцлагеря</w:t>
      </w:r>
      <w:proofErr w:type="spellEnd"/>
      <w:r w:rsidR="00F27817">
        <w:rPr>
          <w:rFonts w:ascii="Times New Roman" w:hAnsi="Times New Roman" w:cs="Times New Roman"/>
          <w:sz w:val="24"/>
          <w:szCs w:val="24"/>
        </w:rPr>
        <w:t>)</w:t>
      </w:r>
      <w:r w:rsidRPr="00F27817">
        <w:rPr>
          <w:rFonts w:ascii="Times New Roman" w:hAnsi="Times New Roman" w:cs="Times New Roman"/>
          <w:sz w:val="24"/>
          <w:szCs w:val="24"/>
        </w:rPr>
        <w:t>, проходивши</w:t>
      </w:r>
      <w:r w:rsidR="00141E47">
        <w:rPr>
          <w:rFonts w:ascii="Times New Roman" w:hAnsi="Times New Roman" w:cs="Times New Roman"/>
          <w:sz w:val="24"/>
          <w:szCs w:val="24"/>
        </w:rPr>
        <w:t>ми</w:t>
      </w:r>
      <w:r w:rsidRPr="00F27817">
        <w:rPr>
          <w:rFonts w:ascii="Times New Roman" w:hAnsi="Times New Roman" w:cs="Times New Roman"/>
          <w:sz w:val="24"/>
          <w:szCs w:val="24"/>
        </w:rPr>
        <w:t xml:space="preserve"> одновременно с ней через рыночные преобразования</w:t>
      </w:r>
      <w:r w:rsidR="0061242C">
        <w:rPr>
          <w:rFonts w:ascii="Times New Roman" w:hAnsi="Times New Roman" w:cs="Times New Roman"/>
          <w:sz w:val="24"/>
          <w:szCs w:val="24"/>
        </w:rPr>
        <w:t xml:space="preserve">. </w:t>
      </w:r>
      <w:r w:rsidR="00C96C91">
        <w:rPr>
          <w:rFonts w:ascii="Times New Roman" w:hAnsi="Times New Roman" w:cs="Times New Roman"/>
          <w:sz w:val="24"/>
          <w:szCs w:val="24"/>
        </w:rPr>
        <w:t>Если в</w:t>
      </w:r>
      <w:r w:rsidR="00151070">
        <w:rPr>
          <w:rFonts w:ascii="Times New Roman" w:hAnsi="Times New Roman" w:cs="Times New Roman"/>
          <w:sz w:val="24"/>
          <w:szCs w:val="24"/>
        </w:rPr>
        <w:t xml:space="preserve"> 2000-х год</w:t>
      </w:r>
      <w:r w:rsidR="00C96C91">
        <w:rPr>
          <w:rFonts w:ascii="Times New Roman" w:hAnsi="Times New Roman" w:cs="Times New Roman"/>
          <w:sz w:val="24"/>
          <w:szCs w:val="24"/>
        </w:rPr>
        <w:t>ах</w:t>
      </w:r>
      <w:r w:rsidR="00151070">
        <w:rPr>
          <w:rFonts w:ascii="Times New Roman" w:hAnsi="Times New Roman" w:cs="Times New Roman"/>
          <w:sz w:val="24"/>
          <w:szCs w:val="24"/>
        </w:rPr>
        <w:t xml:space="preserve"> </w:t>
      </w:r>
      <w:r w:rsidR="00C96C91">
        <w:rPr>
          <w:rFonts w:ascii="Times New Roman" w:hAnsi="Times New Roman" w:cs="Times New Roman"/>
          <w:sz w:val="24"/>
          <w:szCs w:val="24"/>
        </w:rPr>
        <w:t>высокие темпы роста помогали ей сокращать разрыв с развитыми странами, то прекращение роста в 2014-2015 годах</w:t>
      </w:r>
      <w:r w:rsidR="00B64F22">
        <w:rPr>
          <w:rFonts w:ascii="Times New Roman" w:hAnsi="Times New Roman" w:cs="Times New Roman"/>
          <w:sz w:val="24"/>
          <w:szCs w:val="24"/>
        </w:rPr>
        <w:t>,</w:t>
      </w:r>
      <w:r w:rsidR="00C96C91">
        <w:rPr>
          <w:rFonts w:ascii="Times New Roman" w:hAnsi="Times New Roman" w:cs="Times New Roman"/>
          <w:sz w:val="24"/>
          <w:szCs w:val="24"/>
        </w:rPr>
        <w:t xml:space="preserve"> напротив</w:t>
      </w:r>
      <w:r w:rsidR="00B64F22">
        <w:rPr>
          <w:rFonts w:ascii="Times New Roman" w:hAnsi="Times New Roman" w:cs="Times New Roman"/>
          <w:sz w:val="24"/>
          <w:szCs w:val="24"/>
        </w:rPr>
        <w:t>,</w:t>
      </w:r>
      <w:r w:rsidR="00C96C91">
        <w:rPr>
          <w:rFonts w:ascii="Times New Roman" w:hAnsi="Times New Roman" w:cs="Times New Roman"/>
          <w:sz w:val="24"/>
          <w:szCs w:val="24"/>
        </w:rPr>
        <w:t xml:space="preserve"> привело к увеличению этого разрыва. Пока изменение траектории не выглядит критичным, но</w:t>
      </w:r>
      <w:r w:rsidR="00B64F22">
        <w:rPr>
          <w:rFonts w:ascii="Times New Roman" w:hAnsi="Times New Roman" w:cs="Times New Roman"/>
          <w:sz w:val="24"/>
          <w:szCs w:val="24"/>
        </w:rPr>
        <w:t>,</w:t>
      </w:r>
      <w:r w:rsidR="00C96C91">
        <w:rPr>
          <w:rFonts w:ascii="Times New Roman" w:hAnsi="Times New Roman" w:cs="Times New Roman"/>
          <w:sz w:val="24"/>
          <w:szCs w:val="24"/>
        </w:rPr>
        <w:t xml:space="preserve"> если такая ситуация затянется</w:t>
      </w:r>
      <w:r w:rsidR="00B64F22">
        <w:rPr>
          <w:rFonts w:ascii="Times New Roman" w:hAnsi="Times New Roman" w:cs="Times New Roman"/>
          <w:sz w:val="24"/>
          <w:szCs w:val="24"/>
        </w:rPr>
        <w:t>,</w:t>
      </w:r>
      <w:r w:rsidR="00C96C91">
        <w:rPr>
          <w:rFonts w:ascii="Times New Roman" w:hAnsi="Times New Roman" w:cs="Times New Roman"/>
          <w:sz w:val="24"/>
          <w:szCs w:val="24"/>
        </w:rPr>
        <w:t xml:space="preserve"> и Россия будет и дальше отставать от «европейцев», со временем </w:t>
      </w:r>
      <w:r w:rsidR="00735E9E">
        <w:rPr>
          <w:rFonts w:ascii="Times New Roman" w:hAnsi="Times New Roman" w:cs="Times New Roman"/>
          <w:sz w:val="24"/>
          <w:szCs w:val="24"/>
        </w:rPr>
        <w:t>ее будут догонять по среднедушевому ВВП быстро растущие развивающиеся страны (например, Китай).</w:t>
      </w:r>
    </w:p>
    <w:p w14:paraId="362C401D" w14:textId="77777777" w:rsidR="00487C4B" w:rsidRPr="005C3C4B" w:rsidRDefault="00141E47" w:rsidP="00F27817">
      <w:pPr>
        <w:pStyle w:val="af7"/>
        <w:spacing w:before="0" w:beforeAutospacing="0" w:after="0" w:afterAutospacing="0" w:line="360" w:lineRule="auto"/>
        <w:ind w:firstLine="709"/>
        <w:jc w:val="both"/>
        <w:textAlignment w:val="baseline"/>
      </w:pPr>
      <w:r w:rsidRPr="009310E6">
        <w:rPr>
          <w:rFonts w:eastAsiaTheme="minorEastAsia"/>
          <w:b/>
          <w:bCs/>
          <w:color w:val="000000" w:themeColor="text1"/>
          <w:kern w:val="24"/>
        </w:rPr>
        <w:t xml:space="preserve">Рис 1.1. </w:t>
      </w:r>
      <w:r w:rsidR="00487C4B" w:rsidRPr="009310E6">
        <w:rPr>
          <w:rFonts w:eastAsiaTheme="minorEastAsia"/>
          <w:b/>
          <w:bCs/>
          <w:color w:val="000000" w:themeColor="text1"/>
          <w:kern w:val="24"/>
        </w:rPr>
        <w:t>ВВП по ППС на душу населения (в тыс. международных долл.)</w:t>
      </w:r>
    </w:p>
    <w:p w14:paraId="5AA4779E" w14:textId="77777777" w:rsidR="00487C4B" w:rsidRPr="00487C4B" w:rsidRDefault="00487C4B" w:rsidP="00F27817">
      <w:pPr>
        <w:spacing w:line="360" w:lineRule="auto"/>
        <w:ind w:firstLine="709"/>
        <w:jc w:val="both"/>
        <w:rPr>
          <w:rFonts w:ascii="Times New Roman" w:hAnsi="Times New Roman" w:cs="Times New Roman"/>
          <w:sz w:val="24"/>
          <w:szCs w:val="24"/>
        </w:rPr>
      </w:pPr>
      <w:r>
        <w:rPr>
          <w:noProof/>
          <w:lang w:eastAsia="ru-RU"/>
        </w:rPr>
        <w:drawing>
          <wp:inline distT="0" distB="0" distL="0" distR="0" wp14:anchorId="66D6D2FF" wp14:editId="5A6960EB">
            <wp:extent cx="4051437" cy="2508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3085" cy="2509270"/>
                    </a:xfrm>
                    <a:prstGeom prst="rect">
                      <a:avLst/>
                    </a:prstGeom>
                    <a:noFill/>
                  </pic:spPr>
                </pic:pic>
              </a:graphicData>
            </a:graphic>
          </wp:inline>
        </w:drawing>
      </w:r>
    </w:p>
    <w:p w14:paraId="728DD57E" w14:textId="77777777" w:rsidR="00487C4B" w:rsidRPr="00F27817" w:rsidRDefault="00487C4B" w:rsidP="00F27817">
      <w:pPr>
        <w:spacing w:line="360" w:lineRule="auto"/>
        <w:ind w:firstLine="709"/>
        <w:jc w:val="both"/>
        <w:rPr>
          <w:rFonts w:ascii="Times New Roman" w:hAnsi="Times New Roman" w:cs="Times New Roman"/>
          <w:i/>
          <w:sz w:val="24"/>
          <w:szCs w:val="24"/>
        </w:rPr>
      </w:pPr>
      <w:r w:rsidRPr="00F27817">
        <w:rPr>
          <w:rFonts w:ascii="Times New Roman" w:hAnsi="Times New Roman" w:cs="Times New Roman"/>
          <w:i/>
          <w:sz w:val="24"/>
          <w:szCs w:val="24"/>
        </w:rPr>
        <w:t>Источник: МВФ</w:t>
      </w:r>
    </w:p>
    <w:p w14:paraId="46442E98" w14:textId="0B56EAA5" w:rsidR="00487C4B" w:rsidRPr="00F27817" w:rsidRDefault="00735E9E" w:rsidP="00F2781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Хотя по такому ключевому параметру, как среднедушевой ВВП,</w:t>
      </w:r>
      <w:r w:rsidR="00487C4B" w:rsidRPr="00F27817">
        <w:rPr>
          <w:rFonts w:ascii="Times New Roman" w:hAnsi="Times New Roman" w:cs="Times New Roman"/>
          <w:sz w:val="24"/>
          <w:szCs w:val="24"/>
        </w:rPr>
        <w:t xml:space="preserve"> Россия сейчас </w:t>
      </w:r>
      <w:r w:rsidR="00F27817">
        <w:rPr>
          <w:rFonts w:ascii="Times New Roman" w:hAnsi="Times New Roman" w:cs="Times New Roman"/>
          <w:sz w:val="24"/>
          <w:szCs w:val="24"/>
        </w:rPr>
        <w:t xml:space="preserve">соответствует </w:t>
      </w:r>
      <w:r>
        <w:rPr>
          <w:rFonts w:ascii="Times New Roman" w:hAnsi="Times New Roman" w:cs="Times New Roman"/>
          <w:sz w:val="24"/>
          <w:szCs w:val="24"/>
        </w:rPr>
        <w:t>стран</w:t>
      </w:r>
      <w:r w:rsidR="00F27817">
        <w:rPr>
          <w:rFonts w:ascii="Times New Roman" w:hAnsi="Times New Roman" w:cs="Times New Roman"/>
          <w:sz w:val="24"/>
          <w:szCs w:val="24"/>
        </w:rPr>
        <w:t>ам</w:t>
      </w:r>
      <w:r>
        <w:rPr>
          <w:rFonts w:ascii="Times New Roman" w:hAnsi="Times New Roman" w:cs="Times New Roman"/>
          <w:sz w:val="24"/>
          <w:szCs w:val="24"/>
        </w:rPr>
        <w:t xml:space="preserve"> </w:t>
      </w:r>
      <w:r w:rsidR="00F27817">
        <w:rPr>
          <w:rFonts w:ascii="Times New Roman" w:hAnsi="Times New Roman" w:cs="Times New Roman"/>
          <w:sz w:val="24"/>
          <w:szCs w:val="24"/>
        </w:rPr>
        <w:t xml:space="preserve">Центральной </w:t>
      </w:r>
      <w:r>
        <w:rPr>
          <w:rFonts w:ascii="Times New Roman" w:hAnsi="Times New Roman" w:cs="Times New Roman"/>
          <w:sz w:val="24"/>
          <w:szCs w:val="24"/>
        </w:rPr>
        <w:t xml:space="preserve">Европы, </w:t>
      </w:r>
      <w:r w:rsidR="00F27817">
        <w:rPr>
          <w:rFonts w:ascii="Times New Roman" w:hAnsi="Times New Roman" w:cs="Times New Roman"/>
          <w:sz w:val="24"/>
          <w:szCs w:val="24"/>
        </w:rPr>
        <w:t xml:space="preserve">на субъективном уровне она все еще воспринимается как более бедная страна. </w:t>
      </w:r>
      <w:r w:rsidR="00A95852">
        <w:rPr>
          <w:rFonts w:ascii="Times New Roman" w:hAnsi="Times New Roman" w:cs="Times New Roman"/>
          <w:sz w:val="24"/>
          <w:szCs w:val="24"/>
        </w:rPr>
        <w:t xml:space="preserve">Это связано с тем, </w:t>
      </w:r>
      <w:r w:rsidR="005C3C4B">
        <w:rPr>
          <w:rFonts w:ascii="Times New Roman" w:hAnsi="Times New Roman" w:cs="Times New Roman"/>
          <w:sz w:val="24"/>
          <w:szCs w:val="24"/>
        </w:rPr>
        <w:t xml:space="preserve">что </w:t>
      </w:r>
      <w:r w:rsidR="00A95852">
        <w:rPr>
          <w:rFonts w:ascii="Times New Roman" w:hAnsi="Times New Roman" w:cs="Times New Roman"/>
          <w:sz w:val="24"/>
          <w:szCs w:val="24"/>
        </w:rPr>
        <w:t xml:space="preserve">в России сложился </w:t>
      </w:r>
      <w:r w:rsidR="00F27817">
        <w:rPr>
          <w:rFonts w:ascii="Times New Roman" w:hAnsi="Times New Roman" w:cs="Times New Roman"/>
          <w:sz w:val="24"/>
          <w:szCs w:val="24"/>
        </w:rPr>
        <w:t xml:space="preserve">значительно более высокий </w:t>
      </w:r>
      <w:r w:rsidR="00487C4B" w:rsidRPr="00F27817">
        <w:rPr>
          <w:rFonts w:ascii="Times New Roman" w:hAnsi="Times New Roman" w:cs="Times New Roman"/>
          <w:sz w:val="24"/>
          <w:szCs w:val="24"/>
        </w:rPr>
        <w:t xml:space="preserve">уровень неравенства, </w:t>
      </w:r>
      <w:r w:rsidR="00A95852">
        <w:rPr>
          <w:rFonts w:ascii="Times New Roman" w:hAnsi="Times New Roman" w:cs="Times New Roman"/>
          <w:sz w:val="24"/>
          <w:szCs w:val="24"/>
        </w:rPr>
        <w:t xml:space="preserve">который не сокращался </w:t>
      </w:r>
      <w:r w:rsidR="006067F1">
        <w:rPr>
          <w:rFonts w:ascii="Times New Roman" w:hAnsi="Times New Roman" w:cs="Times New Roman"/>
          <w:sz w:val="24"/>
          <w:szCs w:val="24"/>
        </w:rPr>
        <w:t xml:space="preserve">(а напротив, увеличивался) </w:t>
      </w:r>
      <w:r w:rsidR="00A95852">
        <w:rPr>
          <w:rFonts w:ascii="Times New Roman" w:hAnsi="Times New Roman" w:cs="Times New Roman"/>
          <w:sz w:val="24"/>
          <w:szCs w:val="24"/>
        </w:rPr>
        <w:t xml:space="preserve">даже в периоды быстрого экономического роста. </w:t>
      </w:r>
      <w:r w:rsidR="00290B42">
        <w:rPr>
          <w:rFonts w:ascii="Times New Roman" w:hAnsi="Times New Roman" w:cs="Times New Roman"/>
          <w:sz w:val="24"/>
          <w:szCs w:val="24"/>
        </w:rPr>
        <w:t>К 2016 году н</w:t>
      </w:r>
      <w:r w:rsidR="00A95852" w:rsidRPr="00A95852">
        <w:rPr>
          <w:rFonts w:ascii="Times New Roman" w:hAnsi="Times New Roman" w:cs="Times New Roman"/>
          <w:sz w:val="24"/>
          <w:szCs w:val="24"/>
        </w:rPr>
        <w:t>аселение</w:t>
      </w:r>
      <w:r w:rsidR="00A95852">
        <w:rPr>
          <w:rFonts w:ascii="Times New Roman" w:hAnsi="Times New Roman" w:cs="Times New Roman"/>
          <w:sz w:val="24"/>
          <w:szCs w:val="24"/>
        </w:rPr>
        <w:t xml:space="preserve"> России</w:t>
      </w:r>
      <w:r w:rsidR="00A95852" w:rsidRPr="00A95852">
        <w:rPr>
          <w:rFonts w:ascii="Times New Roman" w:hAnsi="Times New Roman" w:cs="Times New Roman"/>
          <w:sz w:val="24"/>
          <w:szCs w:val="24"/>
        </w:rPr>
        <w:t xml:space="preserve"> по </w:t>
      </w:r>
      <w:r w:rsidR="00F27817">
        <w:rPr>
          <w:rFonts w:ascii="Times New Roman" w:hAnsi="Times New Roman" w:cs="Times New Roman"/>
          <w:sz w:val="24"/>
          <w:szCs w:val="24"/>
        </w:rPr>
        <w:t>экономическому положению</w:t>
      </w:r>
      <w:r w:rsidR="00A95852" w:rsidRPr="00A95852">
        <w:rPr>
          <w:rFonts w:ascii="Times New Roman" w:hAnsi="Times New Roman" w:cs="Times New Roman"/>
          <w:sz w:val="24"/>
          <w:szCs w:val="24"/>
        </w:rPr>
        <w:t xml:space="preserve"> делится на две </w:t>
      </w:r>
      <w:r w:rsidR="00F27817">
        <w:rPr>
          <w:rFonts w:ascii="Times New Roman" w:hAnsi="Times New Roman" w:cs="Times New Roman"/>
          <w:sz w:val="24"/>
          <w:szCs w:val="24"/>
        </w:rPr>
        <w:t>большие</w:t>
      </w:r>
      <w:r w:rsidR="00F27817" w:rsidRPr="00A95852">
        <w:rPr>
          <w:rFonts w:ascii="Times New Roman" w:hAnsi="Times New Roman" w:cs="Times New Roman"/>
          <w:sz w:val="24"/>
          <w:szCs w:val="24"/>
        </w:rPr>
        <w:t xml:space="preserve"> </w:t>
      </w:r>
      <w:r w:rsidR="00A95852" w:rsidRPr="00A95852">
        <w:rPr>
          <w:rFonts w:ascii="Times New Roman" w:hAnsi="Times New Roman" w:cs="Times New Roman"/>
          <w:sz w:val="24"/>
          <w:szCs w:val="24"/>
        </w:rPr>
        <w:t xml:space="preserve">группы. Первую группу, которая составляет около 40% населения, можно условно отнести к среднему классу (По оценкам Института социальной политики НИУ ВШЭ). Ее уровень доходов позволяет тратить на удовлетворение неотложных нужд менее </w:t>
      </w:r>
      <w:r w:rsidR="007D4AE6">
        <w:rPr>
          <w:rFonts w:ascii="Times New Roman" w:hAnsi="Times New Roman" w:cs="Times New Roman"/>
          <w:sz w:val="24"/>
          <w:szCs w:val="24"/>
        </w:rPr>
        <w:t>половины</w:t>
      </w:r>
      <w:r w:rsidR="00A95852" w:rsidRPr="00A95852">
        <w:rPr>
          <w:rFonts w:ascii="Times New Roman" w:hAnsi="Times New Roman" w:cs="Times New Roman"/>
          <w:sz w:val="24"/>
          <w:szCs w:val="24"/>
        </w:rPr>
        <w:t xml:space="preserve"> доходов, что позволяет этой группе </w:t>
      </w:r>
      <w:r w:rsidR="00A95852" w:rsidRPr="00A95852">
        <w:rPr>
          <w:rFonts w:ascii="Times New Roman" w:hAnsi="Times New Roman" w:cs="Times New Roman"/>
          <w:sz w:val="24"/>
          <w:szCs w:val="24"/>
        </w:rPr>
        <w:lastRenderedPageBreak/>
        <w:t xml:space="preserve">населения </w:t>
      </w:r>
      <w:r w:rsidR="00F27817">
        <w:rPr>
          <w:rFonts w:ascii="Times New Roman" w:hAnsi="Times New Roman" w:cs="Times New Roman"/>
          <w:sz w:val="24"/>
          <w:szCs w:val="24"/>
        </w:rPr>
        <w:t xml:space="preserve">делать накопления и </w:t>
      </w:r>
      <w:r w:rsidR="00A95852" w:rsidRPr="00A95852">
        <w:rPr>
          <w:rFonts w:ascii="Times New Roman" w:hAnsi="Times New Roman" w:cs="Times New Roman"/>
          <w:sz w:val="24"/>
          <w:szCs w:val="24"/>
        </w:rPr>
        <w:t xml:space="preserve">иметь возможность потребительского выбора, в том числе выделять деньги на приобретение платных услуг в сфере образования, здравоохранения, культуры, негосударственного пенсионного обеспечения. Что касается остальных 60% населения, эти группы по сути лишены </w:t>
      </w:r>
      <w:r w:rsidR="00F27817">
        <w:rPr>
          <w:rFonts w:ascii="Times New Roman" w:hAnsi="Times New Roman" w:cs="Times New Roman"/>
          <w:sz w:val="24"/>
          <w:szCs w:val="24"/>
        </w:rPr>
        <w:t>экономиче</w:t>
      </w:r>
      <w:r w:rsidR="00F27817" w:rsidRPr="00A95852">
        <w:rPr>
          <w:rFonts w:ascii="Times New Roman" w:hAnsi="Times New Roman" w:cs="Times New Roman"/>
          <w:sz w:val="24"/>
          <w:szCs w:val="24"/>
        </w:rPr>
        <w:t xml:space="preserve">ского </w:t>
      </w:r>
      <w:r w:rsidR="00A95852" w:rsidRPr="00A95852">
        <w:rPr>
          <w:rFonts w:ascii="Times New Roman" w:hAnsi="Times New Roman" w:cs="Times New Roman"/>
          <w:sz w:val="24"/>
          <w:szCs w:val="24"/>
        </w:rPr>
        <w:t>выбора.</w:t>
      </w:r>
      <w:r w:rsidR="006067F1">
        <w:rPr>
          <w:rFonts w:ascii="Times New Roman" w:hAnsi="Times New Roman" w:cs="Times New Roman"/>
          <w:sz w:val="24"/>
          <w:szCs w:val="24"/>
        </w:rPr>
        <w:t xml:space="preserve"> </w:t>
      </w:r>
      <w:r w:rsidR="00F27817">
        <w:rPr>
          <w:rFonts w:ascii="Times New Roman" w:hAnsi="Times New Roman" w:cs="Times New Roman"/>
          <w:sz w:val="24"/>
          <w:szCs w:val="24"/>
        </w:rPr>
        <w:t>В</w:t>
      </w:r>
      <w:r w:rsidR="00290B42">
        <w:rPr>
          <w:rFonts w:ascii="Times New Roman" w:hAnsi="Times New Roman" w:cs="Times New Roman"/>
          <w:sz w:val="24"/>
          <w:szCs w:val="24"/>
        </w:rPr>
        <w:t>ысокий уровень дифференциации не оценива</w:t>
      </w:r>
      <w:r w:rsidR="00F27817">
        <w:rPr>
          <w:rFonts w:ascii="Times New Roman" w:hAnsi="Times New Roman" w:cs="Times New Roman"/>
          <w:sz w:val="24"/>
          <w:szCs w:val="24"/>
        </w:rPr>
        <w:t>е</w:t>
      </w:r>
      <w:r w:rsidR="00290B42">
        <w:rPr>
          <w:rFonts w:ascii="Times New Roman" w:hAnsi="Times New Roman" w:cs="Times New Roman"/>
          <w:sz w:val="24"/>
          <w:szCs w:val="24"/>
        </w:rPr>
        <w:t xml:space="preserve">тся населением как справедливый и является потенциальным источником социальных конфликтов, особенно в случае неблагоприятной общеэкономической динамики. </w:t>
      </w:r>
    </w:p>
    <w:p w14:paraId="2049AC48" w14:textId="77777777" w:rsidR="005C3C4B" w:rsidRDefault="00EF4498" w:rsidP="00F27817">
      <w:pPr>
        <w:spacing w:after="0" w:line="360" w:lineRule="auto"/>
        <w:ind w:firstLine="709"/>
        <w:jc w:val="both"/>
        <w:textAlignment w:val="baseline"/>
        <w:rPr>
          <w:rFonts w:ascii="Times New Roman" w:eastAsiaTheme="minorEastAsia" w:hAnsi="Times New Roman" w:cs="Times New Roman"/>
          <w:b/>
          <w:bCs/>
          <w:color w:val="000000" w:themeColor="text1"/>
          <w:kern w:val="24"/>
          <w:sz w:val="24"/>
          <w:szCs w:val="24"/>
          <w:lang w:eastAsia="ru-RU"/>
        </w:rPr>
      </w:pPr>
      <w:r w:rsidRPr="009310E6">
        <w:rPr>
          <w:rFonts w:ascii="Times New Roman" w:eastAsiaTheme="minorEastAsia" w:hAnsi="Times New Roman" w:cs="Times New Roman"/>
          <w:b/>
          <w:bCs/>
          <w:color w:val="000000" w:themeColor="text1"/>
          <w:kern w:val="24"/>
          <w:sz w:val="24"/>
          <w:szCs w:val="24"/>
          <w:lang w:eastAsia="ru-RU"/>
        </w:rPr>
        <w:t xml:space="preserve">Рис 1.2. </w:t>
      </w:r>
      <w:r w:rsidR="00487C4B" w:rsidRPr="009310E6">
        <w:rPr>
          <w:rFonts w:ascii="Times New Roman" w:eastAsiaTheme="minorEastAsia" w:hAnsi="Times New Roman" w:cs="Times New Roman"/>
          <w:b/>
          <w:bCs/>
          <w:color w:val="000000" w:themeColor="text1"/>
          <w:kern w:val="24"/>
          <w:sz w:val="24"/>
          <w:szCs w:val="24"/>
          <w:lang w:eastAsia="ru-RU"/>
        </w:rPr>
        <w:t xml:space="preserve">Коэффициент неравенства распределения доходов населения Джини </w:t>
      </w:r>
    </w:p>
    <w:p w14:paraId="40BC65BE" w14:textId="4563173B" w:rsidR="00487C4B" w:rsidRPr="005C3C4B" w:rsidRDefault="00487C4B" w:rsidP="00F27817">
      <w:pPr>
        <w:spacing w:after="0" w:line="360" w:lineRule="auto"/>
        <w:ind w:firstLine="709"/>
        <w:jc w:val="both"/>
        <w:textAlignment w:val="baseline"/>
        <w:rPr>
          <w:rFonts w:ascii="Times New Roman" w:eastAsia="Times New Roman" w:hAnsi="Times New Roman" w:cs="Times New Roman"/>
          <w:sz w:val="24"/>
          <w:szCs w:val="24"/>
          <w:lang w:eastAsia="ru-RU"/>
        </w:rPr>
      </w:pPr>
      <w:r w:rsidRPr="009310E6">
        <w:rPr>
          <w:rFonts w:ascii="Times New Roman" w:eastAsiaTheme="minorEastAsia" w:hAnsi="Times New Roman" w:cs="Times New Roman"/>
          <w:b/>
          <w:bCs/>
          <w:color w:val="000000" w:themeColor="text1"/>
          <w:kern w:val="24"/>
          <w:sz w:val="24"/>
          <w:szCs w:val="24"/>
          <w:lang w:eastAsia="ru-RU"/>
        </w:rPr>
        <w:t>(0 - 100)</w:t>
      </w:r>
    </w:p>
    <w:p w14:paraId="169812C7" w14:textId="77777777" w:rsidR="00487C4B" w:rsidRPr="00487C4B" w:rsidRDefault="00487C4B" w:rsidP="00F27817">
      <w:pPr>
        <w:spacing w:line="360" w:lineRule="auto"/>
        <w:ind w:firstLine="709"/>
        <w:jc w:val="both"/>
        <w:rPr>
          <w:rFonts w:ascii="Times New Roman" w:hAnsi="Times New Roman" w:cs="Times New Roman"/>
          <w:sz w:val="24"/>
          <w:szCs w:val="24"/>
        </w:rPr>
      </w:pPr>
      <w:r>
        <w:rPr>
          <w:noProof/>
          <w:lang w:eastAsia="ru-RU"/>
        </w:rPr>
        <w:drawing>
          <wp:inline distT="0" distB="0" distL="0" distR="0" wp14:anchorId="17B800DF" wp14:editId="09063B43">
            <wp:extent cx="4581525" cy="26076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4735" cy="2609442"/>
                    </a:xfrm>
                    <a:prstGeom prst="rect">
                      <a:avLst/>
                    </a:prstGeom>
                    <a:noFill/>
                  </pic:spPr>
                </pic:pic>
              </a:graphicData>
            </a:graphic>
          </wp:inline>
        </w:drawing>
      </w:r>
    </w:p>
    <w:p w14:paraId="63150D38" w14:textId="77777777" w:rsidR="00487C4B" w:rsidRPr="00F27817" w:rsidRDefault="00487C4B" w:rsidP="00F27817">
      <w:pPr>
        <w:spacing w:line="360" w:lineRule="auto"/>
        <w:ind w:firstLine="709"/>
        <w:jc w:val="both"/>
        <w:rPr>
          <w:rFonts w:ascii="Times New Roman" w:hAnsi="Times New Roman" w:cs="Times New Roman"/>
          <w:i/>
          <w:sz w:val="24"/>
          <w:szCs w:val="24"/>
        </w:rPr>
      </w:pPr>
      <w:r w:rsidRPr="00F27817">
        <w:rPr>
          <w:rFonts w:ascii="Times New Roman" w:hAnsi="Times New Roman" w:cs="Times New Roman"/>
          <w:i/>
          <w:sz w:val="24"/>
          <w:szCs w:val="24"/>
        </w:rPr>
        <w:t>Источник: Всемирный банк, Росстат, расчеты ВШЭ</w:t>
      </w:r>
    </w:p>
    <w:p w14:paraId="39A90EA3" w14:textId="1C1889AE" w:rsidR="00487C4B" w:rsidRDefault="002E2182" w:rsidP="00F2781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одним проблемным показателем для России является инфляция. Периоды галопирующей инфляции в 1990-х годах были сильнее и закончились позже, чем, например, в прошедшей через «шоковую терапию» Польше. Хотя в период с 2011 по 2013 гг. </w:t>
      </w:r>
      <w:r w:rsidR="004F450A">
        <w:rPr>
          <w:rFonts w:ascii="Times New Roman" w:hAnsi="Times New Roman" w:cs="Times New Roman"/>
          <w:sz w:val="24"/>
          <w:szCs w:val="24"/>
        </w:rPr>
        <w:t>инфляция в</w:t>
      </w:r>
      <w:r>
        <w:rPr>
          <w:rFonts w:ascii="Times New Roman" w:hAnsi="Times New Roman" w:cs="Times New Roman"/>
          <w:sz w:val="24"/>
          <w:szCs w:val="24"/>
        </w:rPr>
        <w:t xml:space="preserve"> </w:t>
      </w:r>
      <w:r w:rsidR="00487C4B" w:rsidRPr="00F27817">
        <w:rPr>
          <w:rFonts w:ascii="Times New Roman" w:hAnsi="Times New Roman" w:cs="Times New Roman"/>
          <w:sz w:val="24"/>
          <w:szCs w:val="24"/>
        </w:rPr>
        <w:t>России</w:t>
      </w:r>
      <w:r w:rsidR="004F450A">
        <w:rPr>
          <w:rFonts w:ascii="Times New Roman" w:hAnsi="Times New Roman" w:cs="Times New Roman"/>
          <w:sz w:val="24"/>
          <w:szCs w:val="24"/>
        </w:rPr>
        <w:t xml:space="preserve"> опускалась ниже 7%, в 2014-2015 гг. ее темпы вновь стали двухзначными, в основном из-за фактора девальвации. </w:t>
      </w:r>
      <w:r w:rsidR="00DC2DC7">
        <w:rPr>
          <w:rFonts w:ascii="Times New Roman" w:hAnsi="Times New Roman" w:cs="Times New Roman"/>
          <w:sz w:val="24"/>
          <w:szCs w:val="24"/>
        </w:rPr>
        <w:t>Высокая инфляция</w:t>
      </w:r>
      <w:r w:rsidR="002901A1">
        <w:rPr>
          <w:rFonts w:ascii="Times New Roman" w:hAnsi="Times New Roman" w:cs="Times New Roman"/>
          <w:sz w:val="24"/>
          <w:szCs w:val="24"/>
        </w:rPr>
        <w:t xml:space="preserve"> обесценивает сбережения, а</w:t>
      </w:r>
      <w:r w:rsidR="00DC2DC7">
        <w:rPr>
          <w:rFonts w:ascii="Times New Roman" w:hAnsi="Times New Roman" w:cs="Times New Roman"/>
          <w:sz w:val="24"/>
          <w:szCs w:val="24"/>
        </w:rPr>
        <w:t xml:space="preserve"> связанные с ней инфляционные ожидания с</w:t>
      </w:r>
      <w:r w:rsidR="00487C4B" w:rsidRPr="00F27817">
        <w:rPr>
          <w:rFonts w:ascii="Times New Roman" w:hAnsi="Times New Roman" w:cs="Times New Roman"/>
          <w:sz w:val="24"/>
          <w:szCs w:val="24"/>
        </w:rPr>
        <w:t>нижа</w:t>
      </w:r>
      <w:r w:rsidR="00DC2DC7">
        <w:rPr>
          <w:rFonts w:ascii="Times New Roman" w:hAnsi="Times New Roman" w:cs="Times New Roman"/>
          <w:sz w:val="24"/>
          <w:szCs w:val="24"/>
        </w:rPr>
        <w:t>ю</w:t>
      </w:r>
      <w:r w:rsidR="00487C4B" w:rsidRPr="00F27817">
        <w:rPr>
          <w:rFonts w:ascii="Times New Roman" w:hAnsi="Times New Roman" w:cs="Times New Roman"/>
          <w:sz w:val="24"/>
          <w:szCs w:val="24"/>
        </w:rPr>
        <w:t>т привлекательность инвестиций</w:t>
      </w:r>
      <w:r w:rsidR="002901A1">
        <w:rPr>
          <w:rFonts w:ascii="Times New Roman" w:hAnsi="Times New Roman" w:cs="Times New Roman"/>
          <w:sz w:val="24"/>
          <w:szCs w:val="24"/>
        </w:rPr>
        <w:t xml:space="preserve">, что </w:t>
      </w:r>
      <w:r w:rsidR="00487C4B" w:rsidRPr="00F27817">
        <w:rPr>
          <w:rFonts w:ascii="Times New Roman" w:hAnsi="Times New Roman" w:cs="Times New Roman"/>
          <w:sz w:val="24"/>
          <w:szCs w:val="24"/>
        </w:rPr>
        <w:t>явля</w:t>
      </w:r>
      <w:r w:rsidR="002901A1">
        <w:rPr>
          <w:rFonts w:ascii="Times New Roman" w:hAnsi="Times New Roman" w:cs="Times New Roman"/>
          <w:sz w:val="24"/>
          <w:szCs w:val="24"/>
        </w:rPr>
        <w:t>е</w:t>
      </w:r>
      <w:r w:rsidR="00487C4B" w:rsidRPr="00F27817">
        <w:rPr>
          <w:rFonts w:ascii="Times New Roman" w:hAnsi="Times New Roman" w:cs="Times New Roman"/>
          <w:sz w:val="24"/>
          <w:szCs w:val="24"/>
        </w:rPr>
        <w:t>тся серьезным препятствием для развития полноценног</w:t>
      </w:r>
      <w:r w:rsidR="002901A1" w:rsidRPr="002901A1">
        <w:rPr>
          <w:rFonts w:ascii="Times New Roman" w:hAnsi="Times New Roman" w:cs="Times New Roman"/>
          <w:sz w:val="24"/>
          <w:szCs w:val="24"/>
        </w:rPr>
        <w:t>о внутреннего финансового рынка</w:t>
      </w:r>
      <w:r w:rsidR="002901A1">
        <w:rPr>
          <w:rFonts w:ascii="Times New Roman" w:hAnsi="Times New Roman" w:cs="Times New Roman"/>
          <w:sz w:val="24"/>
          <w:szCs w:val="24"/>
        </w:rPr>
        <w:t>.</w:t>
      </w:r>
      <w:r w:rsidR="007D4AE6">
        <w:rPr>
          <w:rFonts w:ascii="Times New Roman" w:hAnsi="Times New Roman" w:cs="Times New Roman"/>
          <w:sz w:val="24"/>
          <w:szCs w:val="24"/>
        </w:rPr>
        <w:t xml:space="preserve"> По оценкам иностранных инвесторов, именно высокий уровень инфляции в настоящее время является </w:t>
      </w:r>
      <w:r w:rsidR="007D4AE6" w:rsidRPr="008552EB">
        <w:rPr>
          <w:rFonts w:ascii="Times New Roman" w:hAnsi="Times New Roman" w:cs="Times New Roman"/>
          <w:b/>
          <w:sz w:val="24"/>
          <w:szCs w:val="24"/>
        </w:rPr>
        <w:t>главным</w:t>
      </w:r>
      <w:r w:rsidR="007D4AE6">
        <w:rPr>
          <w:rFonts w:ascii="Times New Roman" w:hAnsi="Times New Roman" w:cs="Times New Roman"/>
          <w:sz w:val="24"/>
          <w:szCs w:val="24"/>
        </w:rPr>
        <w:t xml:space="preserve"> препятствием для инвестирования в Россию – даже на фоне обострения «внешнеполитического» противостояния.</w:t>
      </w:r>
    </w:p>
    <w:p w14:paraId="057EFA72" w14:textId="77777777" w:rsidR="005C3C4B" w:rsidRDefault="005C3C4B" w:rsidP="00F27817">
      <w:pPr>
        <w:spacing w:line="360" w:lineRule="auto"/>
        <w:ind w:firstLine="709"/>
        <w:jc w:val="both"/>
        <w:rPr>
          <w:rFonts w:ascii="Times New Roman" w:hAnsi="Times New Roman" w:cs="Times New Roman"/>
          <w:sz w:val="24"/>
          <w:szCs w:val="24"/>
        </w:rPr>
      </w:pPr>
    </w:p>
    <w:p w14:paraId="3A2C6B16" w14:textId="77777777" w:rsidR="00791C2A" w:rsidRDefault="00791C2A" w:rsidP="00F27817">
      <w:pPr>
        <w:spacing w:line="360" w:lineRule="auto"/>
        <w:ind w:firstLine="709"/>
        <w:jc w:val="both"/>
        <w:rPr>
          <w:rFonts w:ascii="Times New Roman" w:hAnsi="Times New Roman" w:cs="Times New Roman"/>
          <w:sz w:val="24"/>
          <w:szCs w:val="24"/>
        </w:rPr>
      </w:pPr>
    </w:p>
    <w:p w14:paraId="735A89E1" w14:textId="77777777" w:rsidR="005C3C4B" w:rsidRPr="00F27817" w:rsidRDefault="005C3C4B" w:rsidP="00F27817">
      <w:pPr>
        <w:spacing w:line="360" w:lineRule="auto"/>
        <w:ind w:firstLine="709"/>
        <w:jc w:val="both"/>
        <w:rPr>
          <w:rFonts w:ascii="Times New Roman" w:hAnsi="Times New Roman" w:cs="Times New Roman"/>
          <w:sz w:val="24"/>
          <w:szCs w:val="24"/>
        </w:rPr>
      </w:pPr>
    </w:p>
    <w:p w14:paraId="25A34F45" w14:textId="77777777" w:rsidR="00487C4B" w:rsidRPr="00F27817" w:rsidRDefault="0089607F" w:rsidP="00F27817">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Рис 1.3. </w:t>
      </w:r>
      <w:r w:rsidR="00487C4B" w:rsidRPr="00F27817">
        <w:rPr>
          <w:rFonts w:ascii="Times New Roman" w:hAnsi="Times New Roman" w:cs="Times New Roman"/>
          <w:b/>
          <w:sz w:val="24"/>
          <w:szCs w:val="24"/>
        </w:rPr>
        <w:t>Инфляция, %</w:t>
      </w:r>
    </w:p>
    <w:p w14:paraId="0524CB8F" w14:textId="77777777" w:rsidR="00487C4B" w:rsidRPr="00487C4B" w:rsidRDefault="00487C4B" w:rsidP="00F27817">
      <w:pPr>
        <w:spacing w:line="360" w:lineRule="auto"/>
        <w:ind w:firstLine="709"/>
        <w:jc w:val="both"/>
        <w:rPr>
          <w:rFonts w:ascii="Times New Roman" w:hAnsi="Times New Roman" w:cs="Times New Roman"/>
          <w:sz w:val="24"/>
          <w:szCs w:val="24"/>
        </w:rPr>
      </w:pPr>
      <w:r>
        <w:rPr>
          <w:noProof/>
          <w:lang w:eastAsia="ru-RU"/>
        </w:rPr>
        <w:drawing>
          <wp:inline distT="0" distB="0" distL="0" distR="0" wp14:anchorId="4F1C416C" wp14:editId="0A069C09">
            <wp:extent cx="3562350" cy="226246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1251" cy="2268122"/>
                    </a:xfrm>
                    <a:prstGeom prst="rect">
                      <a:avLst/>
                    </a:prstGeom>
                    <a:noFill/>
                  </pic:spPr>
                </pic:pic>
              </a:graphicData>
            </a:graphic>
          </wp:inline>
        </w:drawing>
      </w:r>
    </w:p>
    <w:p w14:paraId="6FA1D6FB" w14:textId="77777777" w:rsidR="00487C4B" w:rsidRPr="00F27817" w:rsidRDefault="00487C4B" w:rsidP="00F27817">
      <w:pPr>
        <w:spacing w:line="360" w:lineRule="auto"/>
        <w:ind w:firstLine="709"/>
        <w:jc w:val="both"/>
        <w:rPr>
          <w:rFonts w:ascii="Times New Roman" w:hAnsi="Times New Roman" w:cs="Times New Roman"/>
          <w:i/>
          <w:sz w:val="24"/>
          <w:szCs w:val="24"/>
        </w:rPr>
      </w:pPr>
      <w:r w:rsidRPr="00F27817">
        <w:rPr>
          <w:rFonts w:ascii="Times New Roman" w:hAnsi="Times New Roman" w:cs="Times New Roman"/>
          <w:i/>
          <w:sz w:val="24"/>
          <w:szCs w:val="24"/>
        </w:rPr>
        <w:t>Источник: МВФ, Росстат</w:t>
      </w:r>
    </w:p>
    <w:p w14:paraId="2EC15791" w14:textId="77777777" w:rsidR="00487C4B" w:rsidRPr="00F27817" w:rsidRDefault="00487C4B" w:rsidP="00F27817">
      <w:pPr>
        <w:spacing w:line="360" w:lineRule="auto"/>
        <w:ind w:firstLine="709"/>
        <w:jc w:val="both"/>
        <w:rPr>
          <w:rFonts w:ascii="Times New Roman" w:hAnsi="Times New Roman" w:cs="Times New Roman"/>
          <w:sz w:val="24"/>
          <w:szCs w:val="24"/>
        </w:rPr>
      </w:pPr>
      <w:r w:rsidRPr="00F27817">
        <w:rPr>
          <w:rFonts w:ascii="Times New Roman" w:hAnsi="Times New Roman" w:cs="Times New Roman"/>
          <w:sz w:val="24"/>
          <w:szCs w:val="24"/>
        </w:rPr>
        <w:t>Важн</w:t>
      </w:r>
      <w:r w:rsidR="007B4434">
        <w:rPr>
          <w:rFonts w:ascii="Times New Roman" w:hAnsi="Times New Roman" w:cs="Times New Roman"/>
          <w:sz w:val="24"/>
          <w:szCs w:val="24"/>
        </w:rPr>
        <w:t>ым</w:t>
      </w:r>
      <w:r w:rsidRPr="00F27817">
        <w:rPr>
          <w:rFonts w:ascii="Times New Roman" w:hAnsi="Times New Roman" w:cs="Times New Roman"/>
          <w:sz w:val="24"/>
          <w:szCs w:val="24"/>
        </w:rPr>
        <w:t xml:space="preserve"> </w:t>
      </w:r>
      <w:r w:rsidR="007B4434">
        <w:rPr>
          <w:rFonts w:ascii="Times New Roman" w:hAnsi="Times New Roman" w:cs="Times New Roman"/>
          <w:sz w:val="24"/>
          <w:szCs w:val="24"/>
        </w:rPr>
        <w:t>ф</w:t>
      </w:r>
      <w:r w:rsidRPr="00F27817">
        <w:rPr>
          <w:rFonts w:ascii="Times New Roman" w:hAnsi="Times New Roman" w:cs="Times New Roman"/>
          <w:sz w:val="24"/>
          <w:szCs w:val="24"/>
        </w:rPr>
        <w:t>актором</w:t>
      </w:r>
      <w:r w:rsidR="007B4434">
        <w:rPr>
          <w:rFonts w:ascii="Times New Roman" w:hAnsi="Times New Roman" w:cs="Times New Roman"/>
          <w:sz w:val="24"/>
          <w:szCs w:val="24"/>
        </w:rPr>
        <w:t>, увеличивающим инфляцию и препятствующим росту производительности</w:t>
      </w:r>
      <w:r w:rsidR="00AD468E">
        <w:rPr>
          <w:rFonts w:ascii="Times New Roman" w:hAnsi="Times New Roman" w:cs="Times New Roman"/>
          <w:sz w:val="24"/>
          <w:szCs w:val="24"/>
        </w:rPr>
        <w:t>,</w:t>
      </w:r>
      <w:r w:rsidR="007B4434">
        <w:rPr>
          <w:rFonts w:ascii="Times New Roman" w:hAnsi="Times New Roman" w:cs="Times New Roman"/>
          <w:sz w:val="24"/>
          <w:szCs w:val="24"/>
        </w:rPr>
        <w:t xml:space="preserve"> является</w:t>
      </w:r>
      <w:r w:rsidRPr="00F27817">
        <w:rPr>
          <w:rFonts w:ascii="Times New Roman" w:hAnsi="Times New Roman" w:cs="Times New Roman"/>
          <w:sz w:val="24"/>
          <w:szCs w:val="24"/>
        </w:rPr>
        <w:t xml:space="preserve"> слабая конкуренция</w:t>
      </w:r>
      <w:r w:rsidR="007D4AE6">
        <w:rPr>
          <w:rFonts w:ascii="Times New Roman" w:hAnsi="Times New Roman" w:cs="Times New Roman"/>
          <w:sz w:val="24"/>
          <w:szCs w:val="24"/>
        </w:rPr>
        <w:t xml:space="preserve"> на основных рынках</w:t>
      </w:r>
      <w:r w:rsidRPr="00F27817">
        <w:rPr>
          <w:rFonts w:ascii="Times New Roman" w:hAnsi="Times New Roman" w:cs="Times New Roman"/>
          <w:sz w:val="24"/>
          <w:szCs w:val="24"/>
        </w:rPr>
        <w:t xml:space="preserve">. По этому показателю Россия отстает не только от стран Европы, но и от развивающихся стран. </w:t>
      </w:r>
      <w:r w:rsidR="00AD468E">
        <w:rPr>
          <w:rFonts w:ascii="Times New Roman" w:hAnsi="Times New Roman" w:cs="Times New Roman"/>
          <w:sz w:val="24"/>
          <w:szCs w:val="24"/>
        </w:rPr>
        <w:t>В</w:t>
      </w:r>
      <w:r w:rsidRPr="00F27817">
        <w:rPr>
          <w:rFonts w:ascii="Times New Roman" w:hAnsi="Times New Roman" w:cs="Times New Roman"/>
          <w:sz w:val="24"/>
          <w:szCs w:val="24"/>
        </w:rPr>
        <w:t xml:space="preserve"> этом отношении за последние десять лет </w:t>
      </w:r>
      <w:r w:rsidR="00AD468E">
        <w:rPr>
          <w:rFonts w:ascii="Times New Roman" w:hAnsi="Times New Roman" w:cs="Times New Roman"/>
          <w:sz w:val="24"/>
          <w:szCs w:val="24"/>
        </w:rPr>
        <w:t xml:space="preserve">ее </w:t>
      </w:r>
      <w:r w:rsidRPr="00F27817">
        <w:rPr>
          <w:rFonts w:ascii="Times New Roman" w:hAnsi="Times New Roman" w:cs="Times New Roman"/>
          <w:sz w:val="24"/>
          <w:szCs w:val="24"/>
        </w:rPr>
        <w:t>положение</w:t>
      </w:r>
      <w:r w:rsidR="00AD468E">
        <w:rPr>
          <w:rFonts w:ascii="Times New Roman" w:hAnsi="Times New Roman" w:cs="Times New Roman"/>
          <w:sz w:val="24"/>
          <w:szCs w:val="24"/>
        </w:rPr>
        <w:t xml:space="preserve"> совершенно не улучшилось</w:t>
      </w:r>
      <w:r w:rsidRPr="00F27817">
        <w:rPr>
          <w:rFonts w:ascii="Times New Roman" w:hAnsi="Times New Roman" w:cs="Times New Roman"/>
          <w:sz w:val="24"/>
          <w:szCs w:val="24"/>
        </w:rPr>
        <w:t>.</w:t>
      </w:r>
    </w:p>
    <w:p w14:paraId="4A491D3B" w14:textId="77777777" w:rsidR="00487C4B" w:rsidRPr="00F27817" w:rsidRDefault="009470F0" w:rsidP="00F27817">
      <w:pPr>
        <w:spacing w:line="360" w:lineRule="auto"/>
        <w:ind w:firstLine="709"/>
        <w:jc w:val="both"/>
        <w:rPr>
          <w:rFonts w:ascii="Times New Roman" w:hAnsi="Times New Roman" w:cs="Times New Roman"/>
          <w:sz w:val="24"/>
          <w:szCs w:val="24"/>
          <w:lang w:val="en-US"/>
        </w:rPr>
      </w:pPr>
      <w:r>
        <w:rPr>
          <w:rFonts w:ascii="Times New Roman" w:hAnsi="Times New Roman" w:cs="Times New Roman"/>
          <w:b/>
          <w:bCs/>
          <w:sz w:val="24"/>
          <w:szCs w:val="24"/>
        </w:rPr>
        <w:t>Рис 1.4. Глобальный индекс конкурентоспособности (</w:t>
      </w:r>
      <w:r w:rsidR="00487C4B" w:rsidRPr="00F27817">
        <w:rPr>
          <w:rFonts w:ascii="Times New Roman" w:hAnsi="Times New Roman" w:cs="Times New Roman"/>
          <w:b/>
          <w:bCs/>
          <w:sz w:val="24"/>
          <w:szCs w:val="24"/>
          <w:lang w:val="en-US"/>
        </w:rPr>
        <w:t>Global</w:t>
      </w:r>
      <w:r w:rsidR="00487C4B" w:rsidRPr="00F27817">
        <w:rPr>
          <w:rFonts w:ascii="Times New Roman" w:hAnsi="Times New Roman" w:cs="Times New Roman"/>
          <w:b/>
          <w:bCs/>
          <w:sz w:val="24"/>
          <w:szCs w:val="24"/>
        </w:rPr>
        <w:t xml:space="preserve"> </w:t>
      </w:r>
      <w:r w:rsidR="00487C4B" w:rsidRPr="00F27817">
        <w:rPr>
          <w:rFonts w:ascii="Times New Roman" w:hAnsi="Times New Roman" w:cs="Times New Roman"/>
          <w:b/>
          <w:bCs/>
          <w:sz w:val="24"/>
          <w:szCs w:val="24"/>
          <w:lang w:val="en-US"/>
        </w:rPr>
        <w:t>Competitiveness</w:t>
      </w:r>
      <w:r w:rsidR="00487C4B" w:rsidRPr="00F27817">
        <w:rPr>
          <w:rFonts w:ascii="Times New Roman" w:hAnsi="Times New Roman" w:cs="Times New Roman"/>
          <w:b/>
          <w:bCs/>
          <w:sz w:val="24"/>
          <w:szCs w:val="24"/>
        </w:rPr>
        <w:t xml:space="preserve"> </w:t>
      </w:r>
      <w:r w:rsidR="00487C4B" w:rsidRPr="00F27817">
        <w:rPr>
          <w:rFonts w:ascii="Times New Roman" w:hAnsi="Times New Roman" w:cs="Times New Roman"/>
          <w:b/>
          <w:bCs/>
          <w:sz w:val="24"/>
          <w:szCs w:val="24"/>
          <w:lang w:val="en-US"/>
        </w:rPr>
        <w:t>Index</w:t>
      </w:r>
      <w:r>
        <w:rPr>
          <w:rFonts w:ascii="Times New Roman" w:hAnsi="Times New Roman" w:cs="Times New Roman"/>
          <w:b/>
          <w:bCs/>
          <w:sz w:val="24"/>
          <w:szCs w:val="24"/>
        </w:rPr>
        <w:t>)</w:t>
      </w:r>
      <w:r w:rsidR="00487C4B" w:rsidRPr="00F27817">
        <w:rPr>
          <w:rFonts w:ascii="Times New Roman" w:hAnsi="Times New Roman" w:cs="Times New Roman"/>
          <w:b/>
          <w:bCs/>
          <w:sz w:val="24"/>
          <w:szCs w:val="24"/>
        </w:rPr>
        <w:t>. Раздел</w:t>
      </w:r>
      <w:r w:rsidR="00487C4B" w:rsidRPr="00F27817">
        <w:rPr>
          <w:rFonts w:ascii="Times New Roman" w:hAnsi="Times New Roman" w:cs="Times New Roman"/>
          <w:b/>
          <w:bCs/>
          <w:sz w:val="24"/>
          <w:szCs w:val="24"/>
          <w:lang w:val="en-US"/>
        </w:rPr>
        <w:t xml:space="preserve"> "</w:t>
      </w:r>
      <w:r w:rsidR="00487C4B" w:rsidRPr="00F27817">
        <w:rPr>
          <w:rFonts w:ascii="Times New Roman" w:hAnsi="Times New Roman" w:cs="Times New Roman"/>
          <w:b/>
          <w:bCs/>
          <w:sz w:val="24"/>
          <w:szCs w:val="24"/>
        </w:rPr>
        <w:t>Конкуренция</w:t>
      </w:r>
      <w:r w:rsidR="00487C4B" w:rsidRPr="00F27817">
        <w:rPr>
          <w:rFonts w:ascii="Times New Roman" w:hAnsi="Times New Roman" w:cs="Times New Roman"/>
          <w:b/>
          <w:bCs/>
          <w:sz w:val="24"/>
          <w:szCs w:val="24"/>
          <w:lang w:val="en-US"/>
        </w:rPr>
        <w:t>" (</w:t>
      </w:r>
      <w:proofErr w:type="spellStart"/>
      <w:r w:rsidR="00AD468E" w:rsidRPr="00AD468E">
        <w:rPr>
          <w:rFonts w:ascii="Times New Roman" w:hAnsi="Times New Roman" w:cs="Times New Roman"/>
          <w:b/>
          <w:bCs/>
          <w:sz w:val="24"/>
          <w:szCs w:val="24"/>
          <w:lang w:val="en-US"/>
        </w:rPr>
        <w:t>место</w:t>
      </w:r>
      <w:proofErr w:type="spellEnd"/>
      <w:r w:rsidR="00AD468E" w:rsidRPr="00AD468E">
        <w:rPr>
          <w:rFonts w:ascii="Times New Roman" w:hAnsi="Times New Roman" w:cs="Times New Roman"/>
          <w:b/>
          <w:bCs/>
          <w:sz w:val="24"/>
          <w:szCs w:val="24"/>
          <w:lang w:val="en-US"/>
        </w:rPr>
        <w:t xml:space="preserve"> в </w:t>
      </w:r>
      <w:proofErr w:type="spellStart"/>
      <w:r w:rsidR="00AD468E" w:rsidRPr="00AD468E">
        <w:rPr>
          <w:rFonts w:ascii="Times New Roman" w:hAnsi="Times New Roman" w:cs="Times New Roman"/>
          <w:b/>
          <w:bCs/>
          <w:sz w:val="24"/>
          <w:szCs w:val="24"/>
          <w:lang w:val="en-US"/>
        </w:rPr>
        <w:t>рэнкинге</w:t>
      </w:r>
      <w:proofErr w:type="spellEnd"/>
      <w:r w:rsidR="00AD468E" w:rsidRPr="00AD468E">
        <w:rPr>
          <w:rFonts w:ascii="Times New Roman" w:hAnsi="Times New Roman" w:cs="Times New Roman"/>
          <w:b/>
          <w:bCs/>
          <w:sz w:val="24"/>
          <w:szCs w:val="24"/>
          <w:lang w:val="en-US"/>
        </w:rPr>
        <w:t xml:space="preserve"> </w:t>
      </w:r>
      <w:proofErr w:type="spellStart"/>
      <w:r w:rsidR="00AD468E" w:rsidRPr="00AD468E">
        <w:rPr>
          <w:rFonts w:ascii="Times New Roman" w:hAnsi="Times New Roman" w:cs="Times New Roman"/>
          <w:b/>
          <w:bCs/>
          <w:sz w:val="24"/>
          <w:szCs w:val="24"/>
          <w:lang w:val="en-US"/>
        </w:rPr>
        <w:t>стран</w:t>
      </w:r>
      <w:proofErr w:type="spellEnd"/>
      <w:r w:rsidR="00487C4B" w:rsidRPr="00F27817">
        <w:rPr>
          <w:rFonts w:ascii="Times New Roman" w:hAnsi="Times New Roman" w:cs="Times New Roman"/>
          <w:b/>
          <w:bCs/>
          <w:sz w:val="24"/>
          <w:szCs w:val="24"/>
          <w:lang w:val="en-US"/>
        </w:rPr>
        <w:t>)</w:t>
      </w:r>
    </w:p>
    <w:p w14:paraId="71F34C2E" w14:textId="77777777" w:rsidR="00487C4B" w:rsidRPr="00487C4B" w:rsidRDefault="00AD468E" w:rsidP="00F27817">
      <w:pPr>
        <w:spacing w:line="360" w:lineRule="auto"/>
        <w:ind w:firstLine="709"/>
        <w:jc w:val="both"/>
        <w:rPr>
          <w:rFonts w:ascii="Times New Roman" w:hAnsi="Times New Roman" w:cs="Times New Roman"/>
          <w:sz w:val="24"/>
          <w:szCs w:val="24"/>
        </w:rPr>
      </w:pPr>
      <w:r w:rsidRPr="00F27817">
        <w:rPr>
          <w:rFonts w:ascii="Times New Roman" w:hAnsi="Times New Roman" w:cs="Times New Roman"/>
          <w:noProof/>
          <w:sz w:val="24"/>
          <w:szCs w:val="24"/>
          <w:lang w:eastAsia="ru-RU"/>
        </w:rPr>
        <w:drawing>
          <wp:inline distT="0" distB="0" distL="0" distR="0" wp14:anchorId="3A9CC9E8" wp14:editId="2BFA8B72">
            <wp:extent cx="4429620" cy="24765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3546" cy="2478695"/>
                    </a:xfrm>
                    <a:prstGeom prst="rect">
                      <a:avLst/>
                    </a:prstGeom>
                    <a:noFill/>
                    <a:ln>
                      <a:noFill/>
                    </a:ln>
                    <a:effectLst/>
                  </pic:spPr>
                </pic:pic>
              </a:graphicData>
            </a:graphic>
          </wp:inline>
        </w:drawing>
      </w:r>
    </w:p>
    <w:p w14:paraId="1DBE6232" w14:textId="77777777" w:rsidR="00487C4B" w:rsidRPr="00F27817" w:rsidRDefault="00487C4B" w:rsidP="00F27817">
      <w:pPr>
        <w:spacing w:line="360" w:lineRule="auto"/>
        <w:ind w:firstLine="709"/>
        <w:jc w:val="both"/>
        <w:rPr>
          <w:rFonts w:ascii="Times New Roman" w:hAnsi="Times New Roman" w:cs="Times New Roman"/>
          <w:i/>
          <w:sz w:val="24"/>
          <w:szCs w:val="24"/>
        </w:rPr>
      </w:pPr>
      <w:r w:rsidRPr="00F27817">
        <w:rPr>
          <w:rFonts w:ascii="Times New Roman" w:hAnsi="Times New Roman" w:cs="Times New Roman"/>
          <w:i/>
          <w:sz w:val="24"/>
          <w:szCs w:val="24"/>
        </w:rPr>
        <w:t>Источник: Всемирный экономический форум</w:t>
      </w:r>
    </w:p>
    <w:p w14:paraId="2BC9D7C8" w14:textId="77777777" w:rsidR="00487C4B" w:rsidRPr="00F27817" w:rsidRDefault="00487C4B" w:rsidP="00F27817">
      <w:pPr>
        <w:spacing w:line="360" w:lineRule="auto"/>
        <w:ind w:firstLine="709"/>
        <w:jc w:val="both"/>
        <w:rPr>
          <w:rFonts w:ascii="Times New Roman" w:hAnsi="Times New Roman" w:cs="Times New Roman"/>
          <w:sz w:val="24"/>
          <w:szCs w:val="24"/>
        </w:rPr>
      </w:pPr>
      <w:r w:rsidRPr="00F27817">
        <w:rPr>
          <w:rFonts w:ascii="Times New Roman" w:hAnsi="Times New Roman" w:cs="Times New Roman"/>
          <w:sz w:val="24"/>
          <w:szCs w:val="24"/>
        </w:rPr>
        <w:t>Слабая конкуренция тесно связана с выдающимся уровнем огосударствления экономики</w:t>
      </w:r>
      <w:r w:rsidR="00044FC6">
        <w:rPr>
          <w:rFonts w:ascii="Times New Roman" w:hAnsi="Times New Roman" w:cs="Times New Roman"/>
          <w:sz w:val="24"/>
          <w:szCs w:val="24"/>
        </w:rPr>
        <w:t>, особенно крупнейших предприятий, зачастую явл</w:t>
      </w:r>
      <w:r w:rsidR="00C947A2">
        <w:rPr>
          <w:rFonts w:ascii="Times New Roman" w:hAnsi="Times New Roman" w:cs="Times New Roman"/>
          <w:sz w:val="24"/>
          <w:szCs w:val="24"/>
        </w:rPr>
        <w:t>я</w:t>
      </w:r>
      <w:r w:rsidR="00044FC6">
        <w:rPr>
          <w:rFonts w:ascii="Times New Roman" w:hAnsi="Times New Roman" w:cs="Times New Roman"/>
          <w:sz w:val="24"/>
          <w:szCs w:val="24"/>
        </w:rPr>
        <w:t>ющихся монополистами.</w:t>
      </w:r>
      <w:r w:rsidR="00545534">
        <w:rPr>
          <w:rFonts w:ascii="Times New Roman" w:hAnsi="Times New Roman" w:cs="Times New Roman"/>
          <w:sz w:val="24"/>
          <w:szCs w:val="24"/>
        </w:rPr>
        <w:t xml:space="preserve"> </w:t>
      </w:r>
      <w:r w:rsidR="00044FC6">
        <w:rPr>
          <w:rFonts w:ascii="Times New Roman" w:hAnsi="Times New Roman" w:cs="Times New Roman"/>
          <w:sz w:val="24"/>
          <w:szCs w:val="24"/>
        </w:rPr>
        <w:t xml:space="preserve">По </w:t>
      </w:r>
      <w:r w:rsidR="00044FC6">
        <w:rPr>
          <w:rFonts w:ascii="Times New Roman" w:hAnsi="Times New Roman" w:cs="Times New Roman"/>
          <w:sz w:val="24"/>
          <w:szCs w:val="24"/>
        </w:rPr>
        <w:lastRenderedPageBreak/>
        <w:t>этому параметру Россия является одним из мировых лидеров.</w:t>
      </w:r>
      <w:r w:rsidR="00375CE2">
        <w:rPr>
          <w:rFonts w:ascii="Times New Roman" w:hAnsi="Times New Roman" w:cs="Times New Roman"/>
          <w:sz w:val="24"/>
          <w:szCs w:val="24"/>
        </w:rPr>
        <w:t xml:space="preserve"> Разрабатываемые регулярно планы приватизации выполнялись плохо и сопровождались обратным процесс</w:t>
      </w:r>
      <w:r w:rsidR="00AD468E">
        <w:rPr>
          <w:rFonts w:ascii="Times New Roman" w:hAnsi="Times New Roman" w:cs="Times New Roman"/>
          <w:sz w:val="24"/>
          <w:szCs w:val="24"/>
        </w:rPr>
        <w:t>о</w:t>
      </w:r>
      <w:r w:rsidR="00375CE2">
        <w:rPr>
          <w:rFonts w:ascii="Times New Roman" w:hAnsi="Times New Roman" w:cs="Times New Roman"/>
          <w:sz w:val="24"/>
          <w:szCs w:val="24"/>
        </w:rPr>
        <w:t>м концентрации собственности и контроля в руках компаний с государственным участием.</w:t>
      </w:r>
    </w:p>
    <w:p w14:paraId="7967CF4C" w14:textId="77777777" w:rsidR="00487C4B" w:rsidRPr="00F27817" w:rsidRDefault="00375CE2" w:rsidP="00F27817">
      <w:pPr>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Рис. 1.5. </w:t>
      </w:r>
      <w:r w:rsidR="00487C4B" w:rsidRPr="00F27817">
        <w:rPr>
          <w:rFonts w:ascii="Times New Roman" w:hAnsi="Times New Roman" w:cs="Times New Roman"/>
          <w:b/>
          <w:bCs/>
          <w:sz w:val="24"/>
          <w:szCs w:val="24"/>
        </w:rPr>
        <w:t>Доля государства в 10 крупнейших компаниях в 2011 году,%</w:t>
      </w:r>
    </w:p>
    <w:p w14:paraId="1E8886EE" w14:textId="77777777" w:rsidR="00487C4B" w:rsidRPr="00487C4B" w:rsidRDefault="00487C4B" w:rsidP="00F27817">
      <w:pPr>
        <w:spacing w:line="360" w:lineRule="auto"/>
        <w:ind w:firstLine="709"/>
        <w:jc w:val="both"/>
        <w:rPr>
          <w:rFonts w:ascii="Times New Roman" w:hAnsi="Times New Roman" w:cs="Times New Roman"/>
          <w:sz w:val="24"/>
          <w:szCs w:val="24"/>
        </w:rPr>
      </w:pPr>
      <w:r>
        <w:rPr>
          <w:noProof/>
          <w:lang w:eastAsia="ru-RU"/>
        </w:rPr>
        <w:drawing>
          <wp:inline distT="0" distB="0" distL="0" distR="0" wp14:anchorId="45C456CD" wp14:editId="4D0E0D63">
            <wp:extent cx="4607132" cy="258064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6132" cy="2585681"/>
                    </a:xfrm>
                    <a:prstGeom prst="rect">
                      <a:avLst/>
                    </a:prstGeom>
                    <a:noFill/>
                  </pic:spPr>
                </pic:pic>
              </a:graphicData>
            </a:graphic>
          </wp:inline>
        </w:drawing>
      </w:r>
    </w:p>
    <w:p w14:paraId="76AD16B9" w14:textId="77777777" w:rsidR="00487C4B" w:rsidRPr="009310E6" w:rsidRDefault="00487C4B" w:rsidP="009310E6">
      <w:pPr>
        <w:spacing w:line="240" w:lineRule="auto"/>
        <w:ind w:firstLine="709"/>
        <w:jc w:val="both"/>
        <w:rPr>
          <w:rFonts w:ascii="Times New Roman" w:hAnsi="Times New Roman" w:cs="Times New Roman"/>
          <w:i/>
          <w:sz w:val="24"/>
          <w:szCs w:val="24"/>
          <w:lang w:val="en-US"/>
        </w:rPr>
      </w:pPr>
      <w:r w:rsidRPr="009310E6">
        <w:rPr>
          <w:rFonts w:ascii="Times New Roman" w:hAnsi="Times New Roman" w:cs="Times New Roman"/>
          <w:i/>
          <w:sz w:val="24"/>
          <w:szCs w:val="24"/>
        </w:rPr>
        <w:t>Источник</w:t>
      </w:r>
      <w:r w:rsidRPr="009310E6">
        <w:rPr>
          <w:rFonts w:ascii="Times New Roman" w:hAnsi="Times New Roman" w:cs="Times New Roman"/>
          <w:i/>
          <w:sz w:val="24"/>
          <w:szCs w:val="24"/>
          <w:lang w:val="en-US"/>
        </w:rPr>
        <w:t xml:space="preserve">: Kowalski, P, M </w:t>
      </w:r>
      <w:proofErr w:type="spellStart"/>
      <w:r w:rsidRPr="009310E6">
        <w:rPr>
          <w:rFonts w:ascii="Times New Roman" w:hAnsi="Times New Roman" w:cs="Times New Roman"/>
          <w:i/>
          <w:sz w:val="24"/>
          <w:szCs w:val="24"/>
          <w:lang w:val="en-US"/>
        </w:rPr>
        <w:t>Büge</w:t>
      </w:r>
      <w:proofErr w:type="spellEnd"/>
      <w:r w:rsidRPr="009310E6">
        <w:rPr>
          <w:rFonts w:ascii="Times New Roman" w:hAnsi="Times New Roman" w:cs="Times New Roman"/>
          <w:i/>
          <w:sz w:val="24"/>
          <w:szCs w:val="24"/>
          <w:lang w:val="en-US"/>
        </w:rPr>
        <w:t xml:space="preserve">, M </w:t>
      </w:r>
      <w:proofErr w:type="spellStart"/>
      <w:r w:rsidRPr="009310E6">
        <w:rPr>
          <w:rFonts w:ascii="Times New Roman" w:hAnsi="Times New Roman" w:cs="Times New Roman"/>
          <w:i/>
          <w:sz w:val="24"/>
          <w:szCs w:val="24"/>
          <w:lang w:val="en-US"/>
        </w:rPr>
        <w:t>Sztajerowska</w:t>
      </w:r>
      <w:proofErr w:type="spellEnd"/>
      <w:r w:rsidRPr="009310E6">
        <w:rPr>
          <w:rFonts w:ascii="Times New Roman" w:hAnsi="Times New Roman" w:cs="Times New Roman"/>
          <w:i/>
          <w:sz w:val="24"/>
          <w:szCs w:val="24"/>
          <w:lang w:val="en-US"/>
        </w:rPr>
        <w:t xml:space="preserve"> and M </w:t>
      </w:r>
      <w:proofErr w:type="spellStart"/>
      <w:r w:rsidRPr="009310E6">
        <w:rPr>
          <w:rFonts w:ascii="Times New Roman" w:hAnsi="Times New Roman" w:cs="Times New Roman"/>
          <w:i/>
          <w:sz w:val="24"/>
          <w:szCs w:val="24"/>
          <w:lang w:val="en-US"/>
        </w:rPr>
        <w:t>Egeland</w:t>
      </w:r>
      <w:proofErr w:type="spellEnd"/>
      <w:r w:rsidRPr="009310E6">
        <w:rPr>
          <w:rFonts w:ascii="Times New Roman" w:hAnsi="Times New Roman" w:cs="Times New Roman"/>
          <w:i/>
          <w:sz w:val="24"/>
          <w:szCs w:val="24"/>
          <w:lang w:val="en-US"/>
        </w:rPr>
        <w:t xml:space="preserve"> (2013), </w:t>
      </w:r>
      <w:r w:rsidRPr="009310E6">
        <w:rPr>
          <w:rFonts w:ascii="Times New Roman" w:hAnsi="Times New Roman" w:cs="Times New Roman"/>
          <w:i/>
          <w:sz w:val="24"/>
          <w:szCs w:val="24"/>
          <w:lang w:val="en-US"/>
        </w:rPr>
        <w:br/>
        <w:t xml:space="preserve">“State-Owned Enterprises: Trade Effects and Policy Implications”, </w:t>
      </w:r>
      <w:r w:rsidRPr="009310E6">
        <w:rPr>
          <w:rFonts w:ascii="Times New Roman" w:hAnsi="Times New Roman" w:cs="Times New Roman"/>
          <w:i/>
          <w:sz w:val="24"/>
          <w:szCs w:val="24"/>
          <w:lang w:val="en-US"/>
        </w:rPr>
        <w:br/>
        <w:t>OECD Trade Policy Paper, No. 147, OECD Publishing</w:t>
      </w:r>
    </w:p>
    <w:p w14:paraId="694DB53C" w14:textId="360183D2" w:rsidR="00487C4B" w:rsidRPr="00F27817" w:rsidRDefault="00487C4B" w:rsidP="00F27817">
      <w:pPr>
        <w:spacing w:line="360" w:lineRule="auto"/>
        <w:ind w:firstLine="709"/>
        <w:jc w:val="both"/>
        <w:rPr>
          <w:rFonts w:ascii="Times New Roman" w:hAnsi="Times New Roman" w:cs="Times New Roman"/>
          <w:sz w:val="24"/>
          <w:szCs w:val="24"/>
        </w:rPr>
      </w:pPr>
      <w:r w:rsidRPr="00F27817">
        <w:rPr>
          <w:rFonts w:ascii="Times New Roman" w:hAnsi="Times New Roman" w:cs="Times New Roman"/>
          <w:sz w:val="24"/>
          <w:szCs w:val="24"/>
        </w:rPr>
        <w:t xml:space="preserve">Характерно, что огромная роль государства в </w:t>
      </w:r>
      <w:r w:rsidR="00B64F22">
        <w:rPr>
          <w:rFonts w:ascii="Times New Roman" w:hAnsi="Times New Roman" w:cs="Times New Roman"/>
          <w:sz w:val="24"/>
          <w:szCs w:val="24"/>
        </w:rPr>
        <w:t>экономике и высокая концентрация</w:t>
      </w:r>
      <w:r w:rsidRPr="00F27817">
        <w:rPr>
          <w:rFonts w:ascii="Times New Roman" w:hAnsi="Times New Roman" w:cs="Times New Roman"/>
          <w:sz w:val="24"/>
          <w:szCs w:val="24"/>
        </w:rPr>
        <w:t xml:space="preserve"> собственности в России сочетается с большой долей неформального сектора</w:t>
      </w:r>
      <w:r w:rsidR="007E6714">
        <w:rPr>
          <w:rFonts w:ascii="Times New Roman" w:hAnsi="Times New Roman" w:cs="Times New Roman"/>
          <w:sz w:val="24"/>
          <w:szCs w:val="24"/>
        </w:rPr>
        <w:t>, которая по разным оценкам составляет от 30 до 40% ВВП.</w:t>
      </w:r>
    </w:p>
    <w:p w14:paraId="652EACB7" w14:textId="77777777" w:rsidR="00487C4B" w:rsidRPr="00F27817" w:rsidRDefault="00375CE2" w:rsidP="00F27817">
      <w:pPr>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Рис. 1.6. </w:t>
      </w:r>
      <w:r w:rsidR="007E6714" w:rsidRPr="007E6714">
        <w:rPr>
          <w:rFonts w:ascii="Times New Roman" w:hAnsi="Times New Roman" w:cs="Times New Roman"/>
          <w:b/>
          <w:bCs/>
          <w:sz w:val="24"/>
          <w:szCs w:val="24"/>
        </w:rPr>
        <w:t>Размер теневой экономики (в % ВВП)</w:t>
      </w:r>
    </w:p>
    <w:p w14:paraId="4AA4D43A" w14:textId="77777777" w:rsidR="00487C4B" w:rsidRPr="00487C4B" w:rsidRDefault="007E6714" w:rsidP="00F27817">
      <w:pPr>
        <w:spacing w:line="360" w:lineRule="auto"/>
        <w:ind w:firstLine="709"/>
        <w:jc w:val="both"/>
        <w:rPr>
          <w:rFonts w:ascii="Times New Roman" w:hAnsi="Times New Roman" w:cs="Times New Roman"/>
          <w:sz w:val="24"/>
          <w:szCs w:val="24"/>
        </w:rPr>
      </w:pPr>
      <w:r w:rsidRPr="00F27817">
        <w:rPr>
          <w:rFonts w:ascii="Times New Roman" w:hAnsi="Times New Roman" w:cs="Times New Roman"/>
          <w:noProof/>
          <w:sz w:val="24"/>
          <w:szCs w:val="24"/>
          <w:lang w:eastAsia="ru-RU"/>
        </w:rPr>
        <w:drawing>
          <wp:inline distT="0" distB="0" distL="0" distR="0" wp14:anchorId="55DCA321" wp14:editId="0C6B1B68">
            <wp:extent cx="4543425" cy="25401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5461" cy="2541263"/>
                    </a:xfrm>
                    <a:prstGeom prst="rect">
                      <a:avLst/>
                    </a:prstGeom>
                    <a:noFill/>
                    <a:ln>
                      <a:noFill/>
                    </a:ln>
                    <a:effectLst/>
                  </pic:spPr>
                </pic:pic>
              </a:graphicData>
            </a:graphic>
          </wp:inline>
        </w:drawing>
      </w:r>
    </w:p>
    <w:p w14:paraId="306E968E" w14:textId="7466AAB4" w:rsidR="00487C4B" w:rsidRPr="009310E6" w:rsidRDefault="00487C4B" w:rsidP="009310E6">
      <w:pPr>
        <w:spacing w:line="240" w:lineRule="auto"/>
        <w:ind w:firstLine="709"/>
        <w:jc w:val="both"/>
        <w:rPr>
          <w:rFonts w:ascii="Times New Roman" w:hAnsi="Times New Roman" w:cs="Times New Roman"/>
          <w:i/>
          <w:sz w:val="24"/>
          <w:szCs w:val="24"/>
          <w:lang w:val="en-US"/>
        </w:rPr>
      </w:pPr>
      <w:r w:rsidRPr="009310E6">
        <w:rPr>
          <w:rFonts w:ascii="Times New Roman" w:hAnsi="Times New Roman" w:cs="Times New Roman"/>
          <w:i/>
          <w:sz w:val="24"/>
          <w:szCs w:val="24"/>
        </w:rPr>
        <w:t>Источник</w:t>
      </w:r>
      <w:r w:rsidRPr="009310E6">
        <w:rPr>
          <w:rFonts w:ascii="Times New Roman" w:hAnsi="Times New Roman" w:cs="Times New Roman"/>
          <w:i/>
          <w:sz w:val="24"/>
          <w:szCs w:val="24"/>
          <w:lang w:val="en-US"/>
        </w:rPr>
        <w:t xml:space="preserve">: </w:t>
      </w:r>
      <w:r w:rsidR="007E6714" w:rsidRPr="009310E6">
        <w:rPr>
          <w:rFonts w:ascii="Times New Roman" w:hAnsi="Times New Roman" w:cs="Times New Roman"/>
          <w:i/>
          <w:sz w:val="24"/>
          <w:szCs w:val="24"/>
          <w:lang w:val="en-US"/>
        </w:rPr>
        <w:t xml:space="preserve">Schneider, F., A. </w:t>
      </w:r>
      <w:proofErr w:type="spellStart"/>
      <w:r w:rsidR="007E6714" w:rsidRPr="009310E6">
        <w:rPr>
          <w:rFonts w:ascii="Times New Roman" w:hAnsi="Times New Roman" w:cs="Times New Roman"/>
          <w:i/>
          <w:sz w:val="24"/>
          <w:szCs w:val="24"/>
          <w:lang w:val="en-US"/>
        </w:rPr>
        <w:t>Buehn</w:t>
      </w:r>
      <w:proofErr w:type="spellEnd"/>
      <w:r w:rsidR="007E6714" w:rsidRPr="009310E6">
        <w:rPr>
          <w:rFonts w:ascii="Times New Roman" w:hAnsi="Times New Roman" w:cs="Times New Roman"/>
          <w:i/>
          <w:sz w:val="24"/>
          <w:szCs w:val="24"/>
          <w:lang w:val="en-US"/>
        </w:rPr>
        <w:t>, C.E. Montenegro (2010), New Estimates for the Shadow Economies all over the World, International Economic Journal 24/4, pp. 443-461</w:t>
      </w:r>
    </w:p>
    <w:p w14:paraId="1D928521" w14:textId="77777777" w:rsidR="00487C4B" w:rsidRPr="00F27817" w:rsidRDefault="00487C4B" w:rsidP="00F27817">
      <w:pPr>
        <w:spacing w:line="360" w:lineRule="auto"/>
        <w:ind w:firstLine="709"/>
        <w:jc w:val="both"/>
        <w:rPr>
          <w:rFonts w:ascii="Times New Roman" w:hAnsi="Times New Roman" w:cs="Times New Roman"/>
          <w:sz w:val="24"/>
          <w:szCs w:val="24"/>
        </w:rPr>
      </w:pPr>
      <w:r w:rsidRPr="00F27817">
        <w:rPr>
          <w:rFonts w:ascii="Times New Roman" w:hAnsi="Times New Roman" w:cs="Times New Roman"/>
          <w:sz w:val="24"/>
          <w:szCs w:val="24"/>
        </w:rPr>
        <w:lastRenderedPageBreak/>
        <w:t>Перечисленные структурные ограничения были достаточно рано диагностированы российскими экспертами и экономическими чиновниками, однако попытки повлиять на</w:t>
      </w:r>
      <w:r w:rsidR="007E6714">
        <w:rPr>
          <w:rFonts w:ascii="Times New Roman" w:hAnsi="Times New Roman" w:cs="Times New Roman"/>
          <w:sz w:val="24"/>
          <w:szCs w:val="24"/>
        </w:rPr>
        <w:t xml:space="preserve"> них</w:t>
      </w:r>
      <w:r w:rsidRPr="00F27817">
        <w:rPr>
          <w:rFonts w:ascii="Times New Roman" w:hAnsi="Times New Roman" w:cs="Times New Roman"/>
          <w:sz w:val="24"/>
          <w:szCs w:val="24"/>
        </w:rPr>
        <w:t xml:space="preserve"> мерами экономической политики, </w:t>
      </w:r>
      <w:proofErr w:type="spellStart"/>
      <w:r w:rsidRPr="00F27817">
        <w:rPr>
          <w:rFonts w:ascii="Times New Roman" w:hAnsi="Times New Roman" w:cs="Times New Roman"/>
          <w:sz w:val="24"/>
          <w:szCs w:val="24"/>
        </w:rPr>
        <w:t>предпринимавшиеся</w:t>
      </w:r>
      <w:proofErr w:type="spellEnd"/>
      <w:r w:rsidRPr="00F27817">
        <w:rPr>
          <w:rFonts w:ascii="Times New Roman" w:hAnsi="Times New Roman" w:cs="Times New Roman"/>
          <w:sz w:val="24"/>
          <w:szCs w:val="24"/>
        </w:rPr>
        <w:t xml:space="preserve"> с начала 2000 годов (программа Грефа), </w:t>
      </w:r>
      <w:r w:rsidR="00375CE2">
        <w:rPr>
          <w:rFonts w:ascii="Times New Roman" w:hAnsi="Times New Roman" w:cs="Times New Roman"/>
          <w:sz w:val="24"/>
          <w:szCs w:val="24"/>
        </w:rPr>
        <w:t xml:space="preserve">не </w:t>
      </w:r>
      <w:r w:rsidRPr="00F27817">
        <w:rPr>
          <w:rFonts w:ascii="Times New Roman" w:hAnsi="Times New Roman" w:cs="Times New Roman"/>
          <w:sz w:val="24"/>
          <w:szCs w:val="24"/>
        </w:rPr>
        <w:t xml:space="preserve">давали </w:t>
      </w:r>
      <w:r w:rsidR="00375CE2">
        <w:rPr>
          <w:rFonts w:ascii="Times New Roman" w:hAnsi="Times New Roman" w:cs="Times New Roman"/>
          <w:sz w:val="24"/>
          <w:szCs w:val="24"/>
        </w:rPr>
        <w:t>большого</w:t>
      </w:r>
      <w:r w:rsidRPr="00F27817">
        <w:rPr>
          <w:rFonts w:ascii="Times New Roman" w:hAnsi="Times New Roman" w:cs="Times New Roman"/>
          <w:sz w:val="24"/>
          <w:szCs w:val="24"/>
        </w:rPr>
        <w:t xml:space="preserve"> эффект</w:t>
      </w:r>
      <w:r w:rsidR="00375CE2">
        <w:rPr>
          <w:rFonts w:ascii="Times New Roman" w:hAnsi="Times New Roman" w:cs="Times New Roman"/>
          <w:sz w:val="24"/>
          <w:szCs w:val="24"/>
        </w:rPr>
        <w:t>а</w:t>
      </w:r>
      <w:r w:rsidRPr="00F27817">
        <w:rPr>
          <w:rFonts w:ascii="Times New Roman" w:hAnsi="Times New Roman" w:cs="Times New Roman"/>
          <w:sz w:val="24"/>
          <w:szCs w:val="24"/>
        </w:rPr>
        <w:t xml:space="preserve">. В качестве относительно успешной попытки </w:t>
      </w:r>
      <w:r w:rsidR="00694E05">
        <w:rPr>
          <w:rFonts w:ascii="Times New Roman" w:hAnsi="Times New Roman" w:cs="Times New Roman"/>
          <w:sz w:val="24"/>
          <w:szCs w:val="24"/>
        </w:rPr>
        <w:t xml:space="preserve">в рамках реализации президентской программы третьего срока </w:t>
      </w:r>
      <w:proofErr w:type="spellStart"/>
      <w:r w:rsidR="00694E05">
        <w:rPr>
          <w:rFonts w:ascii="Times New Roman" w:hAnsi="Times New Roman" w:cs="Times New Roman"/>
          <w:sz w:val="24"/>
          <w:szCs w:val="24"/>
        </w:rPr>
        <w:t>В.Путина</w:t>
      </w:r>
      <w:proofErr w:type="spellEnd"/>
      <w:r w:rsidR="00694E05">
        <w:rPr>
          <w:rFonts w:ascii="Times New Roman" w:hAnsi="Times New Roman" w:cs="Times New Roman"/>
          <w:sz w:val="24"/>
          <w:szCs w:val="24"/>
        </w:rPr>
        <w:t xml:space="preserve"> </w:t>
      </w:r>
      <w:r w:rsidRPr="00F27817">
        <w:rPr>
          <w:rFonts w:ascii="Times New Roman" w:hAnsi="Times New Roman" w:cs="Times New Roman"/>
          <w:sz w:val="24"/>
          <w:szCs w:val="24"/>
        </w:rPr>
        <w:t xml:space="preserve">следует отметить лишь продвижение России в рейтинге </w:t>
      </w:r>
      <w:r w:rsidRPr="00F27817">
        <w:rPr>
          <w:rFonts w:ascii="Times New Roman" w:hAnsi="Times New Roman" w:cs="Times New Roman"/>
          <w:sz w:val="24"/>
          <w:szCs w:val="24"/>
          <w:lang w:val="en-US"/>
        </w:rPr>
        <w:t>Doing</w:t>
      </w:r>
      <w:r w:rsidRPr="00F27817">
        <w:rPr>
          <w:rFonts w:ascii="Times New Roman" w:hAnsi="Times New Roman" w:cs="Times New Roman"/>
          <w:sz w:val="24"/>
          <w:szCs w:val="24"/>
        </w:rPr>
        <w:t xml:space="preserve"> </w:t>
      </w:r>
      <w:r w:rsidRPr="00F27817">
        <w:rPr>
          <w:rFonts w:ascii="Times New Roman" w:hAnsi="Times New Roman" w:cs="Times New Roman"/>
          <w:sz w:val="24"/>
          <w:szCs w:val="24"/>
          <w:lang w:val="en-US"/>
        </w:rPr>
        <w:t>Business</w:t>
      </w:r>
      <w:r w:rsidRPr="00F27817">
        <w:rPr>
          <w:rFonts w:ascii="Times New Roman" w:hAnsi="Times New Roman" w:cs="Times New Roman"/>
          <w:sz w:val="24"/>
          <w:szCs w:val="24"/>
        </w:rPr>
        <w:t>, ориентированном на оценку качества формальных процедур, сопровождающих предпринимательскую деятельность.</w:t>
      </w:r>
      <w:r w:rsidR="007E6714">
        <w:rPr>
          <w:rFonts w:ascii="Times New Roman" w:hAnsi="Times New Roman" w:cs="Times New Roman"/>
          <w:sz w:val="24"/>
          <w:szCs w:val="24"/>
        </w:rPr>
        <w:t xml:space="preserve"> Однако</w:t>
      </w:r>
      <w:r w:rsidR="007E6714" w:rsidRPr="00375CE2">
        <w:rPr>
          <w:rFonts w:ascii="Times New Roman" w:hAnsi="Times New Roman" w:cs="Times New Roman"/>
          <w:sz w:val="24"/>
          <w:szCs w:val="24"/>
        </w:rPr>
        <w:t xml:space="preserve"> происходило это продвижение на фоне очевидного затухания инвестиционных процессов в экономике</w:t>
      </w:r>
      <w:r w:rsidR="007E6714">
        <w:rPr>
          <w:rFonts w:ascii="Times New Roman" w:hAnsi="Times New Roman" w:cs="Times New Roman"/>
          <w:sz w:val="24"/>
          <w:szCs w:val="24"/>
        </w:rPr>
        <w:t xml:space="preserve"> и ухудшения оценки инвесторами ее перспектив</w:t>
      </w:r>
      <w:r w:rsidR="00694E05">
        <w:rPr>
          <w:rFonts w:ascii="Times New Roman" w:hAnsi="Times New Roman" w:cs="Times New Roman"/>
          <w:sz w:val="24"/>
          <w:szCs w:val="24"/>
        </w:rPr>
        <w:t>.</w:t>
      </w:r>
    </w:p>
    <w:p w14:paraId="1909F7AA" w14:textId="25B55767" w:rsidR="00487C4B" w:rsidRPr="00F27817" w:rsidRDefault="00375CE2" w:rsidP="00F27817">
      <w:pPr>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Рис 1.7. </w:t>
      </w:r>
      <w:r w:rsidR="00B64F22">
        <w:rPr>
          <w:rFonts w:ascii="Times New Roman" w:hAnsi="Times New Roman" w:cs="Times New Roman"/>
          <w:b/>
          <w:bCs/>
          <w:sz w:val="24"/>
          <w:szCs w:val="24"/>
        </w:rPr>
        <w:t xml:space="preserve">Рейтинг </w:t>
      </w:r>
      <w:proofErr w:type="spellStart"/>
      <w:r w:rsidR="00B64F22">
        <w:rPr>
          <w:rFonts w:ascii="Times New Roman" w:hAnsi="Times New Roman" w:cs="Times New Roman"/>
          <w:b/>
          <w:bCs/>
          <w:sz w:val="24"/>
          <w:szCs w:val="24"/>
        </w:rPr>
        <w:t>Doing</w:t>
      </w:r>
      <w:proofErr w:type="spellEnd"/>
      <w:r w:rsidR="00B64F22">
        <w:rPr>
          <w:rFonts w:ascii="Times New Roman" w:hAnsi="Times New Roman" w:cs="Times New Roman"/>
          <w:b/>
          <w:bCs/>
          <w:sz w:val="24"/>
          <w:szCs w:val="24"/>
        </w:rPr>
        <w:t xml:space="preserve"> </w:t>
      </w:r>
      <w:proofErr w:type="spellStart"/>
      <w:r w:rsidR="00B64F22">
        <w:rPr>
          <w:rFonts w:ascii="Times New Roman" w:hAnsi="Times New Roman" w:cs="Times New Roman"/>
          <w:b/>
          <w:bCs/>
          <w:sz w:val="24"/>
          <w:szCs w:val="24"/>
        </w:rPr>
        <w:t>Business</w:t>
      </w:r>
      <w:proofErr w:type="spellEnd"/>
      <w:r w:rsidR="00B64F22">
        <w:rPr>
          <w:rFonts w:ascii="Times New Roman" w:hAnsi="Times New Roman" w:cs="Times New Roman"/>
          <w:b/>
          <w:bCs/>
          <w:sz w:val="24"/>
          <w:szCs w:val="24"/>
        </w:rPr>
        <w:t>,</w:t>
      </w:r>
      <w:r w:rsidR="00487C4B" w:rsidRPr="00F27817">
        <w:rPr>
          <w:rFonts w:ascii="Times New Roman" w:hAnsi="Times New Roman" w:cs="Times New Roman"/>
          <w:b/>
          <w:bCs/>
          <w:sz w:val="24"/>
          <w:szCs w:val="24"/>
        </w:rPr>
        <w:t xml:space="preserve"> % от лучшего результата (0 - 100)</w:t>
      </w:r>
    </w:p>
    <w:p w14:paraId="2E6F02D6" w14:textId="77777777" w:rsidR="00487C4B" w:rsidRPr="00487C4B" w:rsidRDefault="00487C4B" w:rsidP="00F27817">
      <w:pPr>
        <w:spacing w:line="360" w:lineRule="auto"/>
        <w:ind w:firstLine="709"/>
        <w:jc w:val="both"/>
        <w:rPr>
          <w:rFonts w:ascii="Times New Roman" w:hAnsi="Times New Roman" w:cs="Times New Roman"/>
          <w:sz w:val="24"/>
          <w:szCs w:val="24"/>
        </w:rPr>
      </w:pPr>
      <w:r>
        <w:rPr>
          <w:noProof/>
          <w:lang w:eastAsia="ru-RU"/>
        </w:rPr>
        <w:drawing>
          <wp:inline distT="0" distB="0" distL="0" distR="0" wp14:anchorId="04072646" wp14:editId="2153F577">
            <wp:extent cx="4044950" cy="2433306"/>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42971" cy="2432116"/>
                    </a:xfrm>
                    <a:prstGeom prst="rect">
                      <a:avLst/>
                    </a:prstGeom>
                    <a:noFill/>
                  </pic:spPr>
                </pic:pic>
              </a:graphicData>
            </a:graphic>
          </wp:inline>
        </w:drawing>
      </w:r>
    </w:p>
    <w:p w14:paraId="73CC898E" w14:textId="77777777" w:rsidR="00487C4B" w:rsidRPr="00F27817" w:rsidRDefault="00487C4B" w:rsidP="00F27817">
      <w:pPr>
        <w:spacing w:line="360" w:lineRule="auto"/>
        <w:ind w:firstLine="709"/>
        <w:jc w:val="both"/>
        <w:rPr>
          <w:rFonts w:ascii="Times New Roman" w:hAnsi="Times New Roman" w:cs="Times New Roman"/>
          <w:i/>
          <w:sz w:val="24"/>
          <w:szCs w:val="24"/>
        </w:rPr>
      </w:pPr>
      <w:r w:rsidRPr="00F27817">
        <w:rPr>
          <w:rFonts w:ascii="Times New Roman" w:hAnsi="Times New Roman" w:cs="Times New Roman"/>
          <w:i/>
          <w:sz w:val="24"/>
          <w:szCs w:val="24"/>
        </w:rPr>
        <w:t xml:space="preserve">Источник: </w:t>
      </w:r>
      <w:r w:rsidRPr="00F27817">
        <w:rPr>
          <w:rFonts w:ascii="Times New Roman" w:hAnsi="Times New Roman" w:cs="Times New Roman"/>
          <w:i/>
          <w:sz w:val="24"/>
          <w:szCs w:val="24"/>
          <w:lang w:val="en-US"/>
        </w:rPr>
        <w:t>Doing</w:t>
      </w:r>
      <w:r w:rsidRPr="00F27817">
        <w:rPr>
          <w:rFonts w:ascii="Times New Roman" w:hAnsi="Times New Roman" w:cs="Times New Roman"/>
          <w:i/>
          <w:sz w:val="24"/>
          <w:szCs w:val="24"/>
        </w:rPr>
        <w:t xml:space="preserve"> </w:t>
      </w:r>
      <w:r w:rsidRPr="00F27817">
        <w:rPr>
          <w:rFonts w:ascii="Times New Roman" w:hAnsi="Times New Roman" w:cs="Times New Roman"/>
          <w:i/>
          <w:sz w:val="24"/>
          <w:szCs w:val="24"/>
          <w:lang w:val="en-US"/>
        </w:rPr>
        <w:t>Business</w:t>
      </w:r>
    </w:p>
    <w:p w14:paraId="08C6072C" w14:textId="6DA868CB" w:rsidR="00487C4B" w:rsidRDefault="00694E05" w:rsidP="00F2781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капитализация </w:t>
      </w:r>
      <w:r w:rsidR="00375CE2">
        <w:rPr>
          <w:rFonts w:ascii="Times New Roman" w:hAnsi="Times New Roman" w:cs="Times New Roman"/>
          <w:sz w:val="24"/>
          <w:szCs w:val="24"/>
        </w:rPr>
        <w:t>российских компаний</w:t>
      </w:r>
      <w:r w:rsidR="007E6714">
        <w:rPr>
          <w:rFonts w:ascii="Times New Roman" w:hAnsi="Times New Roman" w:cs="Times New Roman"/>
          <w:sz w:val="24"/>
          <w:szCs w:val="24"/>
        </w:rPr>
        <w:t>,</w:t>
      </w:r>
      <w:r w:rsidR="00375CE2">
        <w:rPr>
          <w:rFonts w:ascii="Times New Roman" w:hAnsi="Times New Roman" w:cs="Times New Roman"/>
          <w:sz w:val="24"/>
          <w:szCs w:val="24"/>
        </w:rPr>
        <w:t xml:space="preserve"> </w:t>
      </w:r>
      <w:r w:rsidR="00C04F72">
        <w:rPr>
          <w:rFonts w:ascii="Times New Roman" w:hAnsi="Times New Roman" w:cs="Times New Roman"/>
          <w:sz w:val="24"/>
          <w:szCs w:val="24"/>
        </w:rPr>
        <w:t xml:space="preserve">выросшая на волне увеличения сырьевых сверхдоходов в 2000-е годы, с </w:t>
      </w:r>
      <w:r w:rsidR="007E6714">
        <w:rPr>
          <w:rFonts w:ascii="Times New Roman" w:hAnsi="Times New Roman" w:cs="Times New Roman"/>
          <w:sz w:val="24"/>
          <w:szCs w:val="24"/>
        </w:rPr>
        <w:t>2011 года</w:t>
      </w:r>
      <w:r w:rsidR="00C04F72">
        <w:rPr>
          <w:rFonts w:ascii="Times New Roman" w:hAnsi="Times New Roman" w:cs="Times New Roman"/>
          <w:sz w:val="24"/>
          <w:szCs w:val="24"/>
        </w:rPr>
        <w:t xml:space="preserve"> неуклонно с</w:t>
      </w:r>
      <w:r w:rsidR="007E6714">
        <w:rPr>
          <w:rFonts w:ascii="Times New Roman" w:hAnsi="Times New Roman" w:cs="Times New Roman"/>
          <w:sz w:val="24"/>
          <w:szCs w:val="24"/>
        </w:rPr>
        <w:t>нижалась</w:t>
      </w:r>
      <w:r w:rsidR="00C04F72">
        <w:rPr>
          <w:rFonts w:ascii="Times New Roman" w:hAnsi="Times New Roman" w:cs="Times New Roman"/>
          <w:sz w:val="24"/>
          <w:szCs w:val="24"/>
        </w:rPr>
        <w:t xml:space="preserve">, несмотря на </w:t>
      </w:r>
      <w:r w:rsidR="007E6714">
        <w:rPr>
          <w:rFonts w:ascii="Times New Roman" w:hAnsi="Times New Roman" w:cs="Times New Roman"/>
          <w:sz w:val="24"/>
          <w:szCs w:val="24"/>
        </w:rPr>
        <w:t xml:space="preserve">все </w:t>
      </w:r>
      <w:r w:rsidR="00C04F72">
        <w:rPr>
          <w:rFonts w:ascii="Times New Roman" w:hAnsi="Times New Roman" w:cs="Times New Roman"/>
          <w:sz w:val="24"/>
          <w:szCs w:val="24"/>
        </w:rPr>
        <w:t xml:space="preserve">усилия, направленные на </w:t>
      </w:r>
      <w:r w:rsidR="004471BF">
        <w:rPr>
          <w:rFonts w:ascii="Times New Roman" w:hAnsi="Times New Roman" w:cs="Times New Roman"/>
          <w:sz w:val="24"/>
          <w:szCs w:val="24"/>
        </w:rPr>
        <w:t>улучшение</w:t>
      </w:r>
      <w:r w:rsidR="00C04F72">
        <w:rPr>
          <w:rFonts w:ascii="Times New Roman" w:hAnsi="Times New Roman" w:cs="Times New Roman"/>
          <w:sz w:val="24"/>
          <w:szCs w:val="24"/>
        </w:rPr>
        <w:t xml:space="preserve"> инвестиционного климата.</w:t>
      </w:r>
      <w:r>
        <w:rPr>
          <w:rFonts w:ascii="Times New Roman" w:hAnsi="Times New Roman" w:cs="Times New Roman"/>
          <w:sz w:val="24"/>
          <w:szCs w:val="24"/>
        </w:rPr>
        <w:t xml:space="preserve"> Важно отметить, что этот процесс начался значительно раньше падения нефтяных цен и западных санкций, отрезавших крупнейшие российские компании от дешевых кредитов – наоборот, с 201</w:t>
      </w:r>
      <w:r w:rsidR="000C12AC">
        <w:rPr>
          <w:rFonts w:ascii="Times New Roman" w:hAnsi="Times New Roman" w:cs="Times New Roman"/>
          <w:sz w:val="24"/>
          <w:szCs w:val="24"/>
        </w:rPr>
        <w:t>5</w:t>
      </w:r>
      <w:r>
        <w:rPr>
          <w:rFonts w:ascii="Times New Roman" w:hAnsi="Times New Roman" w:cs="Times New Roman"/>
          <w:sz w:val="24"/>
          <w:szCs w:val="24"/>
        </w:rPr>
        <w:t xml:space="preserve"> года мы можем наблюдать слабый восстановительный рост капитализации.</w:t>
      </w:r>
    </w:p>
    <w:p w14:paraId="605C4639" w14:textId="77777777" w:rsidR="005C3C4B" w:rsidRDefault="005C3C4B" w:rsidP="00F27817">
      <w:pPr>
        <w:spacing w:line="360" w:lineRule="auto"/>
        <w:ind w:firstLine="709"/>
        <w:jc w:val="both"/>
        <w:rPr>
          <w:rFonts w:ascii="Times New Roman" w:hAnsi="Times New Roman" w:cs="Times New Roman"/>
          <w:sz w:val="24"/>
          <w:szCs w:val="24"/>
        </w:rPr>
      </w:pPr>
    </w:p>
    <w:p w14:paraId="4EFEE893" w14:textId="77777777" w:rsidR="005C3C4B" w:rsidRDefault="005C3C4B" w:rsidP="00F27817">
      <w:pPr>
        <w:spacing w:line="360" w:lineRule="auto"/>
        <w:ind w:firstLine="709"/>
        <w:jc w:val="both"/>
        <w:rPr>
          <w:rFonts w:ascii="Times New Roman" w:hAnsi="Times New Roman" w:cs="Times New Roman"/>
          <w:sz w:val="24"/>
          <w:szCs w:val="24"/>
        </w:rPr>
      </w:pPr>
    </w:p>
    <w:p w14:paraId="242D3083" w14:textId="77777777" w:rsidR="005C3C4B" w:rsidRDefault="005C3C4B" w:rsidP="00F27817">
      <w:pPr>
        <w:spacing w:line="360" w:lineRule="auto"/>
        <w:ind w:firstLine="709"/>
        <w:jc w:val="both"/>
        <w:rPr>
          <w:rFonts w:ascii="Times New Roman" w:hAnsi="Times New Roman" w:cs="Times New Roman"/>
          <w:sz w:val="24"/>
          <w:szCs w:val="24"/>
        </w:rPr>
      </w:pPr>
    </w:p>
    <w:p w14:paraId="74AAD4A6" w14:textId="77777777" w:rsidR="005C3C4B" w:rsidRDefault="005C3C4B" w:rsidP="00F27817">
      <w:pPr>
        <w:spacing w:line="360" w:lineRule="auto"/>
        <w:ind w:firstLine="709"/>
        <w:jc w:val="both"/>
        <w:rPr>
          <w:rFonts w:ascii="Times New Roman" w:hAnsi="Times New Roman" w:cs="Times New Roman"/>
          <w:sz w:val="24"/>
          <w:szCs w:val="24"/>
        </w:rPr>
      </w:pPr>
    </w:p>
    <w:p w14:paraId="300DDCC1" w14:textId="77777777" w:rsidR="00487C4B" w:rsidRPr="00F27817" w:rsidRDefault="00375CE2" w:rsidP="00F27817">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Рис. 1.8. </w:t>
      </w:r>
      <w:r w:rsidR="00815763" w:rsidRPr="00815763">
        <w:rPr>
          <w:rFonts w:ascii="Times New Roman" w:hAnsi="Times New Roman" w:cs="Times New Roman"/>
          <w:b/>
          <w:sz w:val="24"/>
          <w:szCs w:val="24"/>
        </w:rPr>
        <w:t>Рыночная капитализация отечественных компаний (в % ВВП)</w:t>
      </w:r>
    </w:p>
    <w:p w14:paraId="1EDAB3AE" w14:textId="77777777" w:rsidR="00487C4B" w:rsidRDefault="00815763" w:rsidP="00F27817">
      <w:pPr>
        <w:spacing w:line="360" w:lineRule="auto"/>
        <w:ind w:firstLine="709"/>
        <w:jc w:val="both"/>
        <w:rPr>
          <w:rFonts w:ascii="Times New Roman" w:hAnsi="Times New Roman" w:cs="Times New Roman"/>
          <w:sz w:val="24"/>
          <w:szCs w:val="24"/>
        </w:rPr>
      </w:pPr>
      <w:r w:rsidRPr="00F27817">
        <w:rPr>
          <w:rFonts w:ascii="Times New Roman" w:hAnsi="Times New Roman" w:cs="Times New Roman"/>
          <w:noProof/>
          <w:sz w:val="24"/>
          <w:szCs w:val="24"/>
          <w:lang w:eastAsia="ru-RU"/>
        </w:rPr>
        <w:drawing>
          <wp:inline distT="0" distB="0" distL="0" distR="0" wp14:anchorId="2CFCAC40" wp14:editId="7468DACE">
            <wp:extent cx="4514850" cy="2524149"/>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8203" cy="2526023"/>
                    </a:xfrm>
                    <a:prstGeom prst="rect">
                      <a:avLst/>
                    </a:prstGeom>
                    <a:noFill/>
                    <a:ln>
                      <a:noFill/>
                    </a:ln>
                    <a:effectLst/>
                  </pic:spPr>
                </pic:pic>
              </a:graphicData>
            </a:graphic>
          </wp:inline>
        </w:drawing>
      </w:r>
    </w:p>
    <w:p w14:paraId="472BCC56" w14:textId="77777777" w:rsidR="00815763" w:rsidRPr="00F27817" w:rsidRDefault="00815763" w:rsidP="009310E6">
      <w:pPr>
        <w:spacing w:line="240" w:lineRule="auto"/>
        <w:ind w:firstLine="709"/>
        <w:jc w:val="both"/>
        <w:rPr>
          <w:rFonts w:ascii="Times New Roman" w:hAnsi="Times New Roman" w:cs="Times New Roman"/>
          <w:i/>
          <w:sz w:val="24"/>
          <w:szCs w:val="24"/>
        </w:rPr>
      </w:pPr>
      <w:r w:rsidRPr="00F27817">
        <w:rPr>
          <w:rFonts w:ascii="Times New Roman" w:hAnsi="Times New Roman" w:cs="Times New Roman"/>
          <w:i/>
          <w:sz w:val="24"/>
          <w:szCs w:val="24"/>
        </w:rPr>
        <w:t>Примечание. 2016 г. - данные на 1 апреля 2016 г.</w:t>
      </w:r>
    </w:p>
    <w:p w14:paraId="764AECEF" w14:textId="77777777" w:rsidR="00815763" w:rsidRPr="00F27817" w:rsidRDefault="00815763" w:rsidP="009310E6">
      <w:pPr>
        <w:spacing w:line="240" w:lineRule="auto"/>
        <w:ind w:firstLine="709"/>
        <w:jc w:val="both"/>
        <w:rPr>
          <w:rFonts w:ascii="Times New Roman" w:hAnsi="Times New Roman" w:cs="Times New Roman"/>
          <w:i/>
          <w:sz w:val="24"/>
          <w:szCs w:val="24"/>
        </w:rPr>
      </w:pPr>
      <w:r w:rsidRPr="00F27817">
        <w:rPr>
          <w:rFonts w:ascii="Times New Roman" w:hAnsi="Times New Roman" w:cs="Times New Roman"/>
          <w:i/>
          <w:sz w:val="24"/>
          <w:szCs w:val="24"/>
        </w:rPr>
        <w:t xml:space="preserve">Источник: МВФ, Всемирный банк, Американская Национальная ассоциация по проблемам инфляции, IMD, CEIC </w:t>
      </w:r>
      <w:proofErr w:type="spellStart"/>
      <w:r w:rsidRPr="00F27817">
        <w:rPr>
          <w:rFonts w:ascii="Times New Roman" w:hAnsi="Times New Roman" w:cs="Times New Roman"/>
          <w:i/>
          <w:sz w:val="24"/>
          <w:szCs w:val="24"/>
        </w:rPr>
        <w:t>Data</w:t>
      </w:r>
      <w:proofErr w:type="spellEnd"/>
      <w:r w:rsidRPr="00F27817">
        <w:rPr>
          <w:rFonts w:ascii="Times New Roman" w:hAnsi="Times New Roman" w:cs="Times New Roman"/>
          <w:i/>
          <w:sz w:val="24"/>
          <w:szCs w:val="24"/>
        </w:rPr>
        <w:t>, расчеты ВШЭ</w:t>
      </w:r>
    </w:p>
    <w:p w14:paraId="33708A08" w14:textId="77777777" w:rsidR="00487C4B" w:rsidRPr="00F27817" w:rsidRDefault="00487C4B" w:rsidP="00F27817">
      <w:pPr>
        <w:spacing w:line="360" w:lineRule="auto"/>
        <w:ind w:firstLine="709"/>
        <w:jc w:val="both"/>
        <w:rPr>
          <w:rFonts w:ascii="Times New Roman" w:hAnsi="Times New Roman" w:cs="Times New Roman"/>
          <w:sz w:val="24"/>
          <w:szCs w:val="24"/>
        </w:rPr>
      </w:pPr>
      <w:r w:rsidRPr="00F27817">
        <w:rPr>
          <w:rFonts w:ascii="Times New Roman" w:hAnsi="Times New Roman" w:cs="Times New Roman"/>
          <w:sz w:val="24"/>
          <w:szCs w:val="24"/>
        </w:rPr>
        <w:t>Для объяснения полученной картины и оценки дальнейших перспектив экономического развития России необходимо совершить экскурс в историю</w:t>
      </w:r>
      <w:r w:rsidR="00636369">
        <w:rPr>
          <w:rFonts w:ascii="Times New Roman" w:hAnsi="Times New Roman" w:cs="Times New Roman"/>
          <w:sz w:val="24"/>
          <w:szCs w:val="24"/>
        </w:rPr>
        <w:t>, а затем</w:t>
      </w:r>
      <w:r w:rsidRPr="00F27817">
        <w:rPr>
          <w:rFonts w:ascii="Times New Roman" w:hAnsi="Times New Roman" w:cs="Times New Roman"/>
          <w:sz w:val="24"/>
          <w:szCs w:val="24"/>
        </w:rPr>
        <w:t xml:space="preserve"> проанализировать причины устойчивости сложившейся экономической модели.</w:t>
      </w:r>
    </w:p>
    <w:p w14:paraId="7F6C1C76" w14:textId="77777777" w:rsidR="00487C4B" w:rsidRDefault="00487C4B" w:rsidP="009310E6">
      <w:pPr>
        <w:pStyle w:val="af0"/>
        <w:spacing w:line="360" w:lineRule="auto"/>
        <w:ind w:left="284" w:firstLine="709"/>
        <w:jc w:val="both"/>
        <w:rPr>
          <w:rFonts w:ascii="Times New Roman" w:hAnsi="Times New Roman" w:cs="Times New Roman"/>
          <w:b/>
          <w:sz w:val="24"/>
          <w:szCs w:val="24"/>
        </w:rPr>
      </w:pPr>
    </w:p>
    <w:p w14:paraId="789F4ED3" w14:textId="6CAAE4E9" w:rsidR="00444466" w:rsidRPr="009310E6" w:rsidRDefault="005622B5" w:rsidP="009310E6">
      <w:pPr>
        <w:ind w:left="284"/>
        <w:rPr>
          <w:rFonts w:ascii="Times New Roman" w:hAnsi="Times New Roman" w:cs="Times New Roman"/>
          <w:b/>
          <w:sz w:val="28"/>
          <w:szCs w:val="28"/>
        </w:rPr>
      </w:pPr>
      <w:r w:rsidRPr="009310E6">
        <w:rPr>
          <w:rFonts w:ascii="Times New Roman" w:hAnsi="Times New Roman" w:cs="Times New Roman"/>
          <w:b/>
          <w:sz w:val="28"/>
          <w:szCs w:val="28"/>
        </w:rPr>
        <w:t xml:space="preserve">Часть 2. </w:t>
      </w:r>
      <w:r w:rsidR="00CC2261" w:rsidRPr="009310E6">
        <w:rPr>
          <w:rFonts w:ascii="Times New Roman" w:hAnsi="Times New Roman" w:cs="Times New Roman"/>
          <w:b/>
          <w:sz w:val="28"/>
          <w:szCs w:val="28"/>
        </w:rPr>
        <w:t>Коротко о пройденном пути</w:t>
      </w:r>
    </w:p>
    <w:p w14:paraId="40AC56AB" w14:textId="77777777" w:rsidR="001F20F4" w:rsidRPr="00791C2A" w:rsidRDefault="007C0DB3" w:rsidP="009310E6">
      <w:pPr>
        <w:ind w:firstLine="709"/>
        <w:rPr>
          <w:rFonts w:ascii="Times New Roman" w:hAnsi="Times New Roman" w:cs="Times New Roman"/>
          <w:b/>
          <w:sz w:val="26"/>
          <w:szCs w:val="26"/>
        </w:rPr>
      </w:pPr>
      <w:r w:rsidRPr="00791C2A">
        <w:rPr>
          <w:rFonts w:ascii="Times New Roman" w:hAnsi="Times New Roman" w:cs="Times New Roman"/>
          <w:b/>
          <w:sz w:val="26"/>
          <w:szCs w:val="26"/>
        </w:rPr>
        <w:t xml:space="preserve">2.1. </w:t>
      </w:r>
      <w:r w:rsidR="00CC2261" w:rsidRPr="00791C2A">
        <w:rPr>
          <w:rFonts w:ascii="Times New Roman" w:hAnsi="Times New Roman" w:cs="Times New Roman"/>
          <w:b/>
          <w:sz w:val="26"/>
          <w:szCs w:val="26"/>
        </w:rPr>
        <w:t xml:space="preserve"> </w:t>
      </w:r>
      <w:r w:rsidR="001F20F4" w:rsidRPr="00791C2A">
        <w:rPr>
          <w:rFonts w:ascii="Times New Roman" w:hAnsi="Times New Roman" w:cs="Times New Roman"/>
          <w:b/>
          <w:sz w:val="26"/>
          <w:szCs w:val="26"/>
        </w:rPr>
        <w:t>Цены на нефть</w:t>
      </w:r>
    </w:p>
    <w:p w14:paraId="2E85ABAC" w14:textId="731CA66B" w:rsidR="004F2299" w:rsidRDefault="007C0DB3"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Политэкономическая история России тесно связана с динамикой цен на нефть. </w:t>
      </w:r>
      <w:r w:rsidR="00580A07">
        <w:rPr>
          <w:rFonts w:ascii="Times New Roman" w:hAnsi="Times New Roman" w:cs="Times New Roman"/>
          <w:sz w:val="24"/>
          <w:szCs w:val="24"/>
        </w:rPr>
        <w:t xml:space="preserve">Советский Союз стал </w:t>
      </w:r>
      <w:r w:rsidR="00C715EB">
        <w:rPr>
          <w:rFonts w:ascii="Times New Roman" w:hAnsi="Times New Roman" w:cs="Times New Roman"/>
          <w:sz w:val="24"/>
          <w:szCs w:val="24"/>
        </w:rPr>
        <w:t xml:space="preserve">крупным экспортером </w:t>
      </w:r>
      <w:r w:rsidR="00580A07">
        <w:rPr>
          <w:rFonts w:ascii="Times New Roman" w:hAnsi="Times New Roman" w:cs="Times New Roman"/>
          <w:sz w:val="24"/>
          <w:szCs w:val="24"/>
        </w:rPr>
        <w:t xml:space="preserve">углеводородов </w:t>
      </w:r>
      <w:r w:rsidR="00A84A9C">
        <w:rPr>
          <w:rFonts w:ascii="Times New Roman" w:hAnsi="Times New Roman" w:cs="Times New Roman"/>
          <w:sz w:val="24"/>
          <w:szCs w:val="24"/>
        </w:rPr>
        <w:t>еще в</w:t>
      </w:r>
      <w:r w:rsidR="00C715EB">
        <w:rPr>
          <w:rFonts w:ascii="Times New Roman" w:hAnsi="Times New Roman" w:cs="Times New Roman"/>
          <w:sz w:val="24"/>
          <w:szCs w:val="24"/>
        </w:rPr>
        <w:t xml:space="preserve"> 70-80 гг</w:t>
      </w:r>
      <w:r w:rsidR="004A7320">
        <w:rPr>
          <w:rFonts w:ascii="Times New Roman" w:hAnsi="Times New Roman" w:cs="Times New Roman"/>
          <w:sz w:val="24"/>
          <w:szCs w:val="24"/>
        </w:rPr>
        <w:t>.</w:t>
      </w:r>
      <w:r w:rsidR="00C715EB">
        <w:rPr>
          <w:rFonts w:ascii="Times New Roman" w:hAnsi="Times New Roman" w:cs="Times New Roman"/>
          <w:sz w:val="24"/>
          <w:szCs w:val="24"/>
        </w:rPr>
        <w:t xml:space="preserve"> </w:t>
      </w:r>
      <w:r w:rsidR="00580A07">
        <w:rPr>
          <w:rFonts w:ascii="Times New Roman" w:hAnsi="Times New Roman" w:cs="Times New Roman"/>
          <w:sz w:val="24"/>
          <w:szCs w:val="24"/>
        </w:rPr>
        <w:t>Но</w:t>
      </w:r>
      <w:r w:rsidR="00C715EB">
        <w:rPr>
          <w:rFonts w:ascii="Times New Roman" w:hAnsi="Times New Roman" w:cs="Times New Roman"/>
          <w:sz w:val="24"/>
          <w:szCs w:val="24"/>
        </w:rPr>
        <w:t xml:space="preserve"> </w:t>
      </w:r>
      <w:r w:rsidR="00580A07">
        <w:rPr>
          <w:rFonts w:ascii="Times New Roman" w:hAnsi="Times New Roman" w:cs="Times New Roman"/>
          <w:sz w:val="24"/>
          <w:szCs w:val="24"/>
        </w:rPr>
        <w:t xml:space="preserve">с </w:t>
      </w:r>
      <w:r w:rsidR="00C715EB">
        <w:rPr>
          <w:rFonts w:ascii="Times New Roman" w:hAnsi="Times New Roman" w:cs="Times New Roman"/>
          <w:sz w:val="24"/>
          <w:szCs w:val="24"/>
        </w:rPr>
        <w:t>1986 г</w:t>
      </w:r>
      <w:r w:rsidR="004A7320">
        <w:rPr>
          <w:rFonts w:ascii="Times New Roman" w:hAnsi="Times New Roman" w:cs="Times New Roman"/>
          <w:sz w:val="24"/>
          <w:szCs w:val="24"/>
        </w:rPr>
        <w:t>.</w:t>
      </w:r>
      <w:r w:rsidR="00C715EB">
        <w:rPr>
          <w:rFonts w:ascii="Times New Roman" w:hAnsi="Times New Roman" w:cs="Times New Roman"/>
          <w:sz w:val="24"/>
          <w:szCs w:val="24"/>
        </w:rPr>
        <w:t xml:space="preserve"> цены</w:t>
      </w:r>
      <w:r w:rsidR="00580A07">
        <w:rPr>
          <w:rFonts w:ascii="Times New Roman" w:hAnsi="Times New Roman" w:cs="Times New Roman"/>
          <w:sz w:val="24"/>
          <w:szCs w:val="24"/>
        </w:rPr>
        <w:t xml:space="preserve"> на них</w:t>
      </w:r>
      <w:r w:rsidR="00C715EB">
        <w:rPr>
          <w:rFonts w:ascii="Times New Roman" w:hAnsi="Times New Roman" w:cs="Times New Roman"/>
          <w:sz w:val="24"/>
          <w:szCs w:val="24"/>
        </w:rPr>
        <w:t xml:space="preserve"> резко упали, что стало одной из причин краха советской экономики и значительных тягостей трансформационного кризиса после начала рыночных реформ. </w:t>
      </w:r>
      <w:r w:rsidR="00AC2AEF">
        <w:rPr>
          <w:rFonts w:ascii="Times New Roman" w:hAnsi="Times New Roman" w:cs="Times New Roman"/>
          <w:sz w:val="24"/>
          <w:szCs w:val="24"/>
        </w:rPr>
        <w:t xml:space="preserve">Цены на нефть оставались низкими </w:t>
      </w:r>
      <w:r w:rsidR="001E15A6">
        <w:rPr>
          <w:rFonts w:ascii="Times New Roman" w:hAnsi="Times New Roman" w:cs="Times New Roman"/>
          <w:sz w:val="24"/>
          <w:szCs w:val="24"/>
        </w:rPr>
        <w:t xml:space="preserve">практически </w:t>
      </w:r>
      <w:r w:rsidR="00AC2AEF">
        <w:rPr>
          <w:rFonts w:ascii="Times New Roman" w:hAnsi="Times New Roman" w:cs="Times New Roman"/>
          <w:sz w:val="24"/>
          <w:szCs w:val="24"/>
        </w:rPr>
        <w:t xml:space="preserve">все 90-е годы. </w:t>
      </w:r>
      <w:r w:rsidR="00C715EB">
        <w:rPr>
          <w:rFonts w:ascii="Times New Roman" w:hAnsi="Times New Roman" w:cs="Times New Roman"/>
          <w:sz w:val="24"/>
          <w:szCs w:val="24"/>
        </w:rPr>
        <w:t>В 1998 г</w:t>
      </w:r>
      <w:r w:rsidR="004A7320">
        <w:rPr>
          <w:rFonts w:ascii="Times New Roman" w:hAnsi="Times New Roman" w:cs="Times New Roman"/>
          <w:sz w:val="24"/>
          <w:szCs w:val="24"/>
        </w:rPr>
        <w:t>.</w:t>
      </w:r>
      <w:r w:rsidR="00C715EB">
        <w:rPr>
          <w:rFonts w:ascii="Times New Roman" w:hAnsi="Times New Roman" w:cs="Times New Roman"/>
          <w:sz w:val="24"/>
          <w:szCs w:val="24"/>
        </w:rPr>
        <w:t xml:space="preserve"> </w:t>
      </w:r>
      <w:r w:rsidR="00AC2AEF">
        <w:rPr>
          <w:rFonts w:ascii="Times New Roman" w:hAnsi="Times New Roman" w:cs="Times New Roman"/>
          <w:sz w:val="24"/>
          <w:szCs w:val="24"/>
        </w:rPr>
        <w:t>они</w:t>
      </w:r>
      <w:r w:rsidR="00C715EB">
        <w:rPr>
          <w:rFonts w:ascii="Times New Roman" w:hAnsi="Times New Roman" w:cs="Times New Roman"/>
          <w:sz w:val="24"/>
          <w:szCs w:val="24"/>
        </w:rPr>
        <w:t xml:space="preserve"> опус</w:t>
      </w:r>
      <w:r w:rsidR="00A84A9C">
        <w:rPr>
          <w:rFonts w:ascii="Times New Roman" w:hAnsi="Times New Roman" w:cs="Times New Roman"/>
          <w:sz w:val="24"/>
          <w:szCs w:val="24"/>
        </w:rPr>
        <w:t>ка</w:t>
      </w:r>
      <w:r w:rsidR="00C715EB">
        <w:rPr>
          <w:rFonts w:ascii="Times New Roman" w:hAnsi="Times New Roman" w:cs="Times New Roman"/>
          <w:sz w:val="24"/>
          <w:szCs w:val="24"/>
        </w:rPr>
        <w:t>лись до 8 долл. за баррель в августе, а в среднем за год –</w:t>
      </w:r>
      <w:r w:rsidR="00F71D6D">
        <w:rPr>
          <w:rFonts w:ascii="Times New Roman" w:hAnsi="Times New Roman" w:cs="Times New Roman"/>
          <w:sz w:val="24"/>
          <w:szCs w:val="24"/>
        </w:rPr>
        <w:t xml:space="preserve"> </w:t>
      </w:r>
      <w:r w:rsidR="00C715EB">
        <w:rPr>
          <w:rFonts w:ascii="Times New Roman" w:hAnsi="Times New Roman" w:cs="Times New Roman"/>
          <w:sz w:val="24"/>
          <w:szCs w:val="24"/>
        </w:rPr>
        <w:t>до 12 долл.</w:t>
      </w:r>
      <w:r w:rsidR="00F71D6D">
        <w:rPr>
          <w:rFonts w:ascii="Times New Roman" w:hAnsi="Times New Roman" w:cs="Times New Roman"/>
          <w:sz w:val="24"/>
          <w:szCs w:val="24"/>
        </w:rPr>
        <w:t xml:space="preserve"> </w:t>
      </w:r>
      <w:r w:rsidR="00A84A9C">
        <w:rPr>
          <w:rFonts w:ascii="Times New Roman" w:hAnsi="Times New Roman" w:cs="Times New Roman"/>
          <w:sz w:val="24"/>
          <w:szCs w:val="24"/>
        </w:rPr>
        <w:t>Однако</w:t>
      </w:r>
      <w:r w:rsidR="00F71D6D">
        <w:rPr>
          <w:rFonts w:ascii="Times New Roman" w:hAnsi="Times New Roman" w:cs="Times New Roman"/>
          <w:sz w:val="24"/>
          <w:szCs w:val="24"/>
        </w:rPr>
        <w:t xml:space="preserve"> </w:t>
      </w:r>
      <w:r w:rsidR="001E15A6">
        <w:rPr>
          <w:rFonts w:ascii="Times New Roman" w:hAnsi="Times New Roman" w:cs="Times New Roman"/>
          <w:sz w:val="24"/>
          <w:szCs w:val="24"/>
        </w:rPr>
        <w:t xml:space="preserve">затем, начиная </w:t>
      </w:r>
      <w:r w:rsidR="00F71D6D">
        <w:rPr>
          <w:rFonts w:ascii="Times New Roman" w:hAnsi="Times New Roman" w:cs="Times New Roman"/>
          <w:sz w:val="24"/>
          <w:szCs w:val="24"/>
        </w:rPr>
        <w:t xml:space="preserve">с </w:t>
      </w:r>
      <w:r w:rsidR="00A84A9C">
        <w:rPr>
          <w:rFonts w:ascii="Times New Roman" w:hAnsi="Times New Roman" w:cs="Times New Roman"/>
          <w:sz w:val="24"/>
          <w:szCs w:val="24"/>
        </w:rPr>
        <w:t>1999</w:t>
      </w:r>
      <w:r w:rsidR="00F71D6D">
        <w:rPr>
          <w:rFonts w:ascii="Times New Roman" w:hAnsi="Times New Roman" w:cs="Times New Roman"/>
          <w:sz w:val="24"/>
          <w:szCs w:val="24"/>
        </w:rPr>
        <w:t xml:space="preserve"> года цены на нефть стали </w:t>
      </w:r>
      <w:r w:rsidR="001E15A6">
        <w:rPr>
          <w:rFonts w:ascii="Times New Roman" w:hAnsi="Times New Roman" w:cs="Times New Roman"/>
          <w:sz w:val="24"/>
          <w:szCs w:val="24"/>
        </w:rPr>
        <w:t>восстанавливаться</w:t>
      </w:r>
      <w:r w:rsidR="00F71D6D">
        <w:rPr>
          <w:rFonts w:ascii="Times New Roman" w:hAnsi="Times New Roman" w:cs="Times New Roman"/>
          <w:sz w:val="24"/>
          <w:szCs w:val="24"/>
        </w:rPr>
        <w:t xml:space="preserve">, </w:t>
      </w:r>
      <w:r w:rsidR="00A84A9C">
        <w:rPr>
          <w:rFonts w:ascii="Times New Roman" w:hAnsi="Times New Roman" w:cs="Times New Roman"/>
          <w:sz w:val="24"/>
          <w:szCs w:val="24"/>
        </w:rPr>
        <w:t xml:space="preserve">а </w:t>
      </w:r>
      <w:r w:rsidR="00F71D6D">
        <w:rPr>
          <w:rFonts w:ascii="Times New Roman" w:hAnsi="Times New Roman" w:cs="Times New Roman"/>
          <w:sz w:val="24"/>
          <w:szCs w:val="24"/>
        </w:rPr>
        <w:t>с 2003 г</w:t>
      </w:r>
      <w:r w:rsidR="004A7320">
        <w:rPr>
          <w:rFonts w:ascii="Times New Roman" w:hAnsi="Times New Roman" w:cs="Times New Roman"/>
          <w:sz w:val="24"/>
          <w:szCs w:val="24"/>
        </w:rPr>
        <w:t>.</w:t>
      </w:r>
      <w:r w:rsidR="00F71D6D">
        <w:rPr>
          <w:rFonts w:ascii="Times New Roman" w:hAnsi="Times New Roman" w:cs="Times New Roman"/>
          <w:sz w:val="24"/>
          <w:szCs w:val="24"/>
        </w:rPr>
        <w:t xml:space="preserve"> </w:t>
      </w:r>
      <w:r w:rsidR="00A84A9C">
        <w:rPr>
          <w:rFonts w:ascii="Times New Roman" w:hAnsi="Times New Roman" w:cs="Times New Roman"/>
          <w:sz w:val="24"/>
          <w:szCs w:val="24"/>
        </w:rPr>
        <w:t xml:space="preserve">их </w:t>
      </w:r>
      <w:r w:rsidR="00F71D6D">
        <w:rPr>
          <w:rFonts w:ascii="Times New Roman" w:hAnsi="Times New Roman" w:cs="Times New Roman"/>
          <w:sz w:val="24"/>
          <w:szCs w:val="24"/>
        </w:rPr>
        <w:t>темп роста</w:t>
      </w:r>
      <w:r w:rsidR="0010430F">
        <w:rPr>
          <w:rFonts w:ascii="Times New Roman" w:hAnsi="Times New Roman" w:cs="Times New Roman"/>
          <w:sz w:val="24"/>
          <w:szCs w:val="24"/>
        </w:rPr>
        <w:t xml:space="preserve"> </w:t>
      </w:r>
      <w:r w:rsidR="00F71D6D">
        <w:rPr>
          <w:rFonts w:ascii="Times New Roman" w:hAnsi="Times New Roman" w:cs="Times New Roman"/>
          <w:sz w:val="24"/>
          <w:szCs w:val="24"/>
        </w:rPr>
        <w:t>повысился до 12-15% в год. Это были «тучные годы»</w:t>
      </w:r>
      <w:r w:rsidR="002820A2">
        <w:rPr>
          <w:rFonts w:ascii="Times New Roman" w:hAnsi="Times New Roman" w:cs="Times New Roman"/>
          <w:sz w:val="24"/>
          <w:szCs w:val="24"/>
        </w:rPr>
        <w:t xml:space="preserve">, которые были прерваны мировым финансовым кризисом 2008-2009 гг. </w:t>
      </w:r>
      <w:r w:rsidR="00C960AA">
        <w:rPr>
          <w:rFonts w:ascii="Times New Roman" w:hAnsi="Times New Roman" w:cs="Times New Roman"/>
          <w:sz w:val="24"/>
          <w:szCs w:val="24"/>
        </w:rPr>
        <w:t>Т</w:t>
      </w:r>
      <w:r w:rsidR="002820A2">
        <w:rPr>
          <w:rFonts w:ascii="Times New Roman" w:hAnsi="Times New Roman" w:cs="Times New Roman"/>
          <w:sz w:val="24"/>
          <w:szCs w:val="24"/>
        </w:rPr>
        <w:t xml:space="preserve">от кризис сопровождался трехкратным падением цен на нефть, но оказался скоротечным. </w:t>
      </w:r>
      <w:r w:rsidR="00444466">
        <w:rPr>
          <w:rFonts w:ascii="Times New Roman" w:hAnsi="Times New Roman" w:cs="Times New Roman"/>
          <w:sz w:val="24"/>
          <w:szCs w:val="24"/>
        </w:rPr>
        <w:t>Ц</w:t>
      </w:r>
      <w:r w:rsidR="002820A2">
        <w:rPr>
          <w:rFonts w:ascii="Times New Roman" w:hAnsi="Times New Roman" w:cs="Times New Roman"/>
          <w:sz w:val="24"/>
          <w:szCs w:val="24"/>
        </w:rPr>
        <w:t>ен</w:t>
      </w:r>
      <w:r w:rsidR="00444466">
        <w:rPr>
          <w:rFonts w:ascii="Times New Roman" w:hAnsi="Times New Roman" w:cs="Times New Roman"/>
          <w:sz w:val="24"/>
          <w:szCs w:val="24"/>
        </w:rPr>
        <w:t>ы</w:t>
      </w:r>
      <w:r w:rsidR="002820A2">
        <w:rPr>
          <w:rFonts w:ascii="Times New Roman" w:hAnsi="Times New Roman" w:cs="Times New Roman"/>
          <w:sz w:val="24"/>
          <w:szCs w:val="24"/>
        </w:rPr>
        <w:t xml:space="preserve"> на нефть в 201</w:t>
      </w:r>
      <w:r w:rsidR="005C6EBF">
        <w:rPr>
          <w:rFonts w:ascii="Times New Roman" w:hAnsi="Times New Roman" w:cs="Times New Roman"/>
          <w:sz w:val="24"/>
          <w:szCs w:val="24"/>
        </w:rPr>
        <w:t>1</w:t>
      </w:r>
      <w:r w:rsidR="002820A2">
        <w:rPr>
          <w:rFonts w:ascii="Times New Roman" w:hAnsi="Times New Roman" w:cs="Times New Roman"/>
          <w:sz w:val="24"/>
          <w:szCs w:val="24"/>
        </w:rPr>
        <w:t xml:space="preserve"> г. - первом полугодии 2014 года </w:t>
      </w:r>
      <w:r w:rsidR="005C6EBF">
        <w:rPr>
          <w:rFonts w:ascii="Times New Roman" w:hAnsi="Times New Roman" w:cs="Times New Roman"/>
          <w:sz w:val="24"/>
          <w:szCs w:val="24"/>
        </w:rPr>
        <w:t>держались</w:t>
      </w:r>
      <w:r w:rsidR="002820A2">
        <w:rPr>
          <w:rFonts w:ascii="Times New Roman" w:hAnsi="Times New Roman" w:cs="Times New Roman"/>
          <w:sz w:val="24"/>
          <w:szCs w:val="24"/>
        </w:rPr>
        <w:t xml:space="preserve"> </w:t>
      </w:r>
      <w:r w:rsidR="001F20F4">
        <w:rPr>
          <w:rFonts w:ascii="Times New Roman" w:hAnsi="Times New Roman" w:cs="Times New Roman"/>
          <w:sz w:val="24"/>
          <w:szCs w:val="24"/>
        </w:rPr>
        <w:t>на максим</w:t>
      </w:r>
      <w:r w:rsidR="005C6EBF">
        <w:rPr>
          <w:rFonts w:ascii="Times New Roman" w:hAnsi="Times New Roman" w:cs="Times New Roman"/>
          <w:sz w:val="24"/>
          <w:szCs w:val="24"/>
        </w:rPr>
        <w:t xml:space="preserve">альных уровнях (110-115 </w:t>
      </w:r>
      <w:proofErr w:type="spellStart"/>
      <w:r w:rsidR="005C6EBF">
        <w:rPr>
          <w:rFonts w:ascii="Times New Roman" w:hAnsi="Times New Roman" w:cs="Times New Roman"/>
          <w:sz w:val="24"/>
          <w:szCs w:val="24"/>
        </w:rPr>
        <w:t>долл</w:t>
      </w:r>
      <w:proofErr w:type="spellEnd"/>
      <w:r w:rsidR="005C6EBF">
        <w:rPr>
          <w:rFonts w:ascii="Times New Roman" w:hAnsi="Times New Roman" w:cs="Times New Roman"/>
          <w:sz w:val="24"/>
          <w:szCs w:val="24"/>
        </w:rPr>
        <w:t>/</w:t>
      </w:r>
      <w:proofErr w:type="spellStart"/>
      <w:r w:rsidR="005C6EBF">
        <w:rPr>
          <w:rFonts w:ascii="Times New Roman" w:hAnsi="Times New Roman" w:cs="Times New Roman"/>
          <w:sz w:val="24"/>
          <w:szCs w:val="24"/>
        </w:rPr>
        <w:t>барр</w:t>
      </w:r>
      <w:proofErr w:type="spellEnd"/>
      <w:r w:rsidR="005C6EBF">
        <w:rPr>
          <w:rFonts w:ascii="Times New Roman" w:hAnsi="Times New Roman" w:cs="Times New Roman"/>
          <w:sz w:val="24"/>
          <w:szCs w:val="24"/>
        </w:rPr>
        <w:t>)</w:t>
      </w:r>
      <w:r w:rsidR="001F20F4">
        <w:rPr>
          <w:rFonts w:ascii="Times New Roman" w:hAnsi="Times New Roman" w:cs="Times New Roman"/>
          <w:sz w:val="24"/>
          <w:szCs w:val="24"/>
        </w:rPr>
        <w:t>. Однако затем последовало их новое драматическое падение</w:t>
      </w:r>
      <w:r w:rsidR="005C6EBF">
        <w:rPr>
          <w:rFonts w:ascii="Times New Roman" w:hAnsi="Times New Roman" w:cs="Times New Roman"/>
          <w:sz w:val="24"/>
          <w:szCs w:val="24"/>
        </w:rPr>
        <w:t xml:space="preserve">, сначала до </w:t>
      </w:r>
      <w:r w:rsidR="005C6EBF">
        <w:rPr>
          <w:rFonts w:ascii="Times New Roman" w:hAnsi="Times New Roman" w:cs="Times New Roman"/>
          <w:sz w:val="24"/>
          <w:szCs w:val="24"/>
        </w:rPr>
        <w:lastRenderedPageBreak/>
        <w:t>50, а затем до 30-40 долл./</w:t>
      </w:r>
      <w:proofErr w:type="spellStart"/>
      <w:r w:rsidR="005C6EBF">
        <w:rPr>
          <w:rFonts w:ascii="Times New Roman" w:hAnsi="Times New Roman" w:cs="Times New Roman"/>
          <w:sz w:val="24"/>
          <w:szCs w:val="24"/>
        </w:rPr>
        <w:t>барр</w:t>
      </w:r>
      <w:proofErr w:type="spellEnd"/>
      <w:r w:rsidR="001F20F4">
        <w:rPr>
          <w:rFonts w:ascii="Times New Roman" w:hAnsi="Times New Roman" w:cs="Times New Roman"/>
          <w:sz w:val="24"/>
          <w:szCs w:val="24"/>
        </w:rPr>
        <w:t xml:space="preserve">. По оценкам международных агентств, очередной период низких цен на нефть  грозит затянуться на </w:t>
      </w:r>
      <w:r w:rsidR="0092612C">
        <w:rPr>
          <w:rFonts w:ascii="Times New Roman" w:hAnsi="Times New Roman" w:cs="Times New Roman"/>
          <w:sz w:val="24"/>
          <w:szCs w:val="24"/>
        </w:rPr>
        <w:t>несколько лет</w:t>
      </w:r>
      <w:r w:rsidR="001F20F4">
        <w:rPr>
          <w:rStyle w:val="af"/>
          <w:rFonts w:ascii="Times New Roman" w:hAnsi="Times New Roman" w:cs="Times New Roman"/>
          <w:sz w:val="24"/>
          <w:szCs w:val="24"/>
        </w:rPr>
        <w:footnoteReference w:id="1"/>
      </w:r>
      <w:r w:rsidR="001F20F4">
        <w:rPr>
          <w:rFonts w:ascii="Times New Roman" w:hAnsi="Times New Roman" w:cs="Times New Roman"/>
          <w:sz w:val="24"/>
          <w:szCs w:val="24"/>
        </w:rPr>
        <w:t>.</w:t>
      </w:r>
    </w:p>
    <w:p w14:paraId="5917BF3F" w14:textId="77777777" w:rsidR="00F71D6D" w:rsidRPr="00F27817" w:rsidRDefault="007C0DB3" w:rsidP="009310E6">
      <w:pPr>
        <w:pStyle w:val="af0"/>
        <w:spacing w:line="360" w:lineRule="auto"/>
        <w:ind w:left="0" w:firstLine="709"/>
        <w:jc w:val="both"/>
        <w:rPr>
          <w:rFonts w:ascii="Times New Roman" w:hAnsi="Times New Roman" w:cs="Times New Roman"/>
          <w:b/>
          <w:sz w:val="24"/>
          <w:szCs w:val="24"/>
        </w:rPr>
      </w:pPr>
      <w:r w:rsidRPr="00F27817">
        <w:rPr>
          <w:rFonts w:ascii="Times New Roman" w:hAnsi="Times New Roman" w:cs="Times New Roman"/>
          <w:b/>
          <w:sz w:val="24"/>
          <w:szCs w:val="24"/>
        </w:rPr>
        <w:t>Рис</w:t>
      </w:r>
      <w:r w:rsidR="001F20F4" w:rsidRPr="00F27817">
        <w:rPr>
          <w:rFonts w:ascii="Times New Roman" w:hAnsi="Times New Roman" w:cs="Times New Roman"/>
          <w:b/>
          <w:sz w:val="24"/>
          <w:szCs w:val="24"/>
        </w:rPr>
        <w:t>.</w:t>
      </w:r>
      <w:r w:rsidR="005C6EBF" w:rsidRPr="00F27817">
        <w:rPr>
          <w:rFonts w:ascii="Times New Roman" w:hAnsi="Times New Roman" w:cs="Times New Roman"/>
          <w:b/>
          <w:sz w:val="24"/>
          <w:szCs w:val="24"/>
        </w:rPr>
        <w:t xml:space="preserve"> 2.1.</w:t>
      </w:r>
      <w:r w:rsidR="001F20F4" w:rsidRPr="00F27817">
        <w:rPr>
          <w:rFonts w:ascii="Times New Roman" w:hAnsi="Times New Roman" w:cs="Times New Roman"/>
          <w:b/>
          <w:sz w:val="24"/>
          <w:szCs w:val="24"/>
        </w:rPr>
        <w:t xml:space="preserve"> </w:t>
      </w:r>
      <w:r w:rsidR="00713BD3" w:rsidRPr="00F27817">
        <w:rPr>
          <w:rFonts w:ascii="Times New Roman" w:hAnsi="Times New Roman" w:cs="Times New Roman"/>
          <w:b/>
          <w:sz w:val="24"/>
          <w:szCs w:val="24"/>
        </w:rPr>
        <w:t>Цены на нефть</w:t>
      </w:r>
      <w:r w:rsidR="005C4CDA">
        <w:rPr>
          <w:rFonts w:ascii="Times New Roman" w:hAnsi="Times New Roman" w:cs="Times New Roman"/>
          <w:b/>
          <w:sz w:val="24"/>
          <w:szCs w:val="24"/>
        </w:rPr>
        <w:t xml:space="preserve"> </w:t>
      </w:r>
      <w:r w:rsidR="005C6EBF" w:rsidRPr="00F27817">
        <w:rPr>
          <w:rFonts w:ascii="Times New Roman" w:hAnsi="Times New Roman" w:cs="Times New Roman"/>
          <w:b/>
          <w:sz w:val="24"/>
          <w:szCs w:val="24"/>
        </w:rPr>
        <w:t xml:space="preserve">«Юралс», </w:t>
      </w:r>
      <w:proofErr w:type="spellStart"/>
      <w:r w:rsidR="005C6EBF" w:rsidRPr="00F27817">
        <w:rPr>
          <w:rFonts w:ascii="Times New Roman" w:hAnsi="Times New Roman" w:cs="Times New Roman"/>
          <w:b/>
          <w:sz w:val="24"/>
          <w:szCs w:val="24"/>
        </w:rPr>
        <w:t>долл</w:t>
      </w:r>
      <w:proofErr w:type="spellEnd"/>
      <w:r w:rsidR="005C6EBF" w:rsidRPr="00F27817">
        <w:rPr>
          <w:rFonts w:ascii="Times New Roman" w:hAnsi="Times New Roman" w:cs="Times New Roman"/>
          <w:b/>
          <w:sz w:val="24"/>
          <w:szCs w:val="24"/>
        </w:rPr>
        <w:t>/</w:t>
      </w:r>
      <w:proofErr w:type="spellStart"/>
      <w:r w:rsidR="005C6EBF" w:rsidRPr="00F27817">
        <w:rPr>
          <w:rFonts w:ascii="Times New Roman" w:hAnsi="Times New Roman" w:cs="Times New Roman"/>
          <w:b/>
          <w:sz w:val="24"/>
          <w:szCs w:val="24"/>
        </w:rPr>
        <w:t>барр</w:t>
      </w:r>
      <w:proofErr w:type="spellEnd"/>
      <w:r w:rsidR="005C6EBF" w:rsidRPr="00F27817">
        <w:rPr>
          <w:rFonts w:ascii="Times New Roman" w:hAnsi="Times New Roman" w:cs="Times New Roman"/>
          <w:b/>
          <w:sz w:val="24"/>
          <w:szCs w:val="24"/>
        </w:rPr>
        <w:t>.</w:t>
      </w:r>
      <w:r w:rsidRPr="00F27817">
        <w:rPr>
          <w:rFonts w:ascii="Times New Roman" w:hAnsi="Times New Roman" w:cs="Times New Roman"/>
          <w:b/>
          <w:sz w:val="24"/>
          <w:szCs w:val="24"/>
        </w:rPr>
        <w:t xml:space="preserve"> </w:t>
      </w:r>
    </w:p>
    <w:p w14:paraId="7F10C4F3" w14:textId="12EC0459" w:rsidR="00F71D6D" w:rsidRDefault="005C6EBF" w:rsidP="009310E6">
      <w:pPr>
        <w:pStyle w:val="af0"/>
        <w:spacing w:line="360" w:lineRule="auto"/>
        <w:ind w:left="0" w:firstLine="709"/>
        <w:jc w:val="both"/>
        <w:rPr>
          <w:rFonts w:ascii="Times New Roman" w:hAnsi="Times New Roman" w:cs="Times New Roman"/>
          <w:sz w:val="24"/>
          <w:szCs w:val="24"/>
        </w:rPr>
      </w:pPr>
      <w:r w:rsidRPr="00F27817">
        <w:rPr>
          <w:rFonts w:ascii="Times New Roman" w:hAnsi="Times New Roman" w:cs="Times New Roman"/>
          <w:noProof/>
          <w:sz w:val="24"/>
          <w:szCs w:val="24"/>
          <w:lang w:eastAsia="ru-RU"/>
        </w:rPr>
        <w:drawing>
          <wp:inline distT="0" distB="0" distL="0" distR="0" wp14:anchorId="759EFC94" wp14:editId="036F9830">
            <wp:extent cx="4572635" cy="2743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a:ln>
                      <a:noFill/>
                    </a:ln>
                    <a:effectLst/>
                  </pic:spPr>
                </pic:pic>
              </a:graphicData>
            </a:graphic>
          </wp:inline>
        </w:drawing>
      </w:r>
    </w:p>
    <w:p w14:paraId="4160A227" w14:textId="77777777" w:rsidR="005C6EBF" w:rsidRPr="00E609DE" w:rsidRDefault="005C6EBF" w:rsidP="009310E6">
      <w:pPr>
        <w:pStyle w:val="af0"/>
        <w:spacing w:line="360" w:lineRule="auto"/>
        <w:ind w:left="0" w:firstLine="709"/>
        <w:jc w:val="both"/>
        <w:rPr>
          <w:rFonts w:ascii="Times New Roman" w:hAnsi="Times New Roman" w:cs="Times New Roman"/>
          <w:i/>
          <w:iCs/>
          <w:sz w:val="24"/>
          <w:szCs w:val="24"/>
        </w:rPr>
      </w:pPr>
      <w:r w:rsidRPr="00E609DE">
        <w:rPr>
          <w:rFonts w:ascii="Times New Roman" w:hAnsi="Times New Roman" w:cs="Times New Roman"/>
          <w:i/>
          <w:iCs/>
          <w:sz w:val="24"/>
          <w:szCs w:val="24"/>
        </w:rPr>
        <w:t>Источник</w:t>
      </w:r>
      <w:r w:rsidR="00815763" w:rsidRPr="00E609DE">
        <w:rPr>
          <w:rFonts w:ascii="Times New Roman" w:hAnsi="Times New Roman" w:cs="Times New Roman"/>
          <w:i/>
          <w:iCs/>
          <w:sz w:val="24"/>
          <w:szCs w:val="24"/>
        </w:rPr>
        <w:t>:</w:t>
      </w:r>
      <w:r w:rsidR="005C4CDA" w:rsidRPr="00E609DE">
        <w:rPr>
          <w:rFonts w:ascii="Times New Roman" w:hAnsi="Times New Roman" w:cs="Times New Roman"/>
          <w:i/>
          <w:iCs/>
          <w:sz w:val="24"/>
          <w:szCs w:val="24"/>
        </w:rPr>
        <w:t xml:space="preserve"> </w:t>
      </w:r>
      <w:r w:rsidR="00815763" w:rsidRPr="00E609DE">
        <w:rPr>
          <w:rFonts w:ascii="Times New Roman" w:eastAsia="Times New Roman" w:hAnsi="Times New Roman" w:cs="Times New Roman"/>
          <w:i/>
          <w:iCs/>
          <w:sz w:val="24"/>
          <w:szCs w:val="24"/>
          <w:lang w:val="en-US"/>
        </w:rPr>
        <w:t>Reuters</w:t>
      </w:r>
    </w:p>
    <w:p w14:paraId="33398005" w14:textId="77777777" w:rsidR="009E1B23" w:rsidRDefault="009E1B23" w:rsidP="009310E6">
      <w:pPr>
        <w:pStyle w:val="af0"/>
        <w:spacing w:line="360" w:lineRule="auto"/>
        <w:ind w:left="0" w:firstLine="709"/>
        <w:jc w:val="both"/>
        <w:rPr>
          <w:rFonts w:ascii="Times New Roman" w:hAnsi="Times New Roman" w:cs="Times New Roman"/>
          <w:b/>
          <w:i/>
          <w:sz w:val="24"/>
          <w:szCs w:val="24"/>
        </w:rPr>
      </w:pPr>
    </w:p>
    <w:p w14:paraId="3FF10F17" w14:textId="77777777" w:rsidR="00F71D6D" w:rsidRPr="00791C2A" w:rsidRDefault="00CC2261" w:rsidP="009310E6">
      <w:pPr>
        <w:pStyle w:val="af0"/>
        <w:spacing w:line="360" w:lineRule="auto"/>
        <w:ind w:left="0" w:firstLine="709"/>
        <w:jc w:val="both"/>
        <w:rPr>
          <w:rFonts w:ascii="Times New Roman" w:hAnsi="Times New Roman" w:cs="Times New Roman"/>
          <w:b/>
          <w:sz w:val="26"/>
          <w:szCs w:val="26"/>
        </w:rPr>
      </w:pPr>
      <w:r w:rsidRPr="00791C2A">
        <w:rPr>
          <w:rFonts w:ascii="Times New Roman" w:hAnsi="Times New Roman" w:cs="Times New Roman"/>
          <w:b/>
          <w:sz w:val="26"/>
          <w:szCs w:val="26"/>
        </w:rPr>
        <w:t xml:space="preserve">2.2. </w:t>
      </w:r>
      <w:r w:rsidR="00F71D6D" w:rsidRPr="00791C2A">
        <w:rPr>
          <w:rFonts w:ascii="Times New Roman" w:hAnsi="Times New Roman" w:cs="Times New Roman"/>
          <w:b/>
          <w:sz w:val="26"/>
          <w:szCs w:val="26"/>
        </w:rPr>
        <w:t>Перестройка и реформы</w:t>
      </w:r>
    </w:p>
    <w:p w14:paraId="1DDCC5F1" w14:textId="6A1FD1E9" w:rsidR="00F71D6D" w:rsidRDefault="00F71D6D"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80-х – 90-х гг</w:t>
      </w:r>
      <w:r w:rsidR="004A7320">
        <w:rPr>
          <w:rFonts w:ascii="Times New Roman" w:hAnsi="Times New Roman" w:cs="Times New Roman"/>
          <w:sz w:val="24"/>
          <w:szCs w:val="24"/>
        </w:rPr>
        <w:t>.</w:t>
      </w:r>
      <w:r>
        <w:rPr>
          <w:rFonts w:ascii="Times New Roman" w:hAnsi="Times New Roman" w:cs="Times New Roman"/>
          <w:sz w:val="24"/>
          <w:szCs w:val="24"/>
        </w:rPr>
        <w:t xml:space="preserve"> Россия оказалась </w:t>
      </w:r>
      <w:r w:rsidR="00C3780F">
        <w:rPr>
          <w:rFonts w:ascii="Times New Roman" w:hAnsi="Times New Roman" w:cs="Times New Roman"/>
          <w:sz w:val="24"/>
          <w:szCs w:val="24"/>
        </w:rPr>
        <w:t>полем исключительно важных для нее исторических событий</w:t>
      </w:r>
      <w:r w:rsidR="00EC22A7">
        <w:rPr>
          <w:rFonts w:ascii="Times New Roman" w:hAnsi="Times New Roman" w:cs="Times New Roman"/>
          <w:sz w:val="24"/>
          <w:szCs w:val="24"/>
        </w:rPr>
        <w:t>, последствия которых до сих пор определяют ее развитие</w:t>
      </w:r>
      <w:r w:rsidR="00C3780F">
        <w:rPr>
          <w:rFonts w:ascii="Times New Roman" w:hAnsi="Times New Roman" w:cs="Times New Roman"/>
          <w:sz w:val="24"/>
          <w:szCs w:val="24"/>
        </w:rPr>
        <w:t xml:space="preserve">. </w:t>
      </w:r>
    </w:p>
    <w:p w14:paraId="39A26733" w14:textId="77777777" w:rsidR="00694E05" w:rsidRDefault="00705B4A"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Демонтаж советской системы – в отличие от Китая - начался с политической, а не экономической либерализации. </w:t>
      </w:r>
      <w:r w:rsidR="00694E05">
        <w:rPr>
          <w:rFonts w:ascii="Times New Roman" w:hAnsi="Times New Roman" w:cs="Times New Roman"/>
          <w:sz w:val="24"/>
          <w:szCs w:val="24"/>
        </w:rPr>
        <w:t xml:space="preserve">Политический распад СССР привел к распаду единого рынка СЭВ и практически сразу после этого – </w:t>
      </w:r>
      <w:r w:rsidR="003833D1">
        <w:rPr>
          <w:rFonts w:ascii="Times New Roman" w:hAnsi="Times New Roman" w:cs="Times New Roman"/>
          <w:sz w:val="24"/>
          <w:szCs w:val="24"/>
        </w:rPr>
        <w:t xml:space="preserve">единого </w:t>
      </w:r>
      <w:r w:rsidR="00694E05">
        <w:rPr>
          <w:rFonts w:ascii="Times New Roman" w:hAnsi="Times New Roman" w:cs="Times New Roman"/>
          <w:sz w:val="24"/>
          <w:szCs w:val="24"/>
        </w:rPr>
        <w:t xml:space="preserve">советского рынка. Это заложило основу для резкого </w:t>
      </w:r>
      <w:r w:rsidR="00022D63">
        <w:rPr>
          <w:rFonts w:ascii="Times New Roman" w:hAnsi="Times New Roman" w:cs="Times New Roman"/>
          <w:sz w:val="24"/>
          <w:szCs w:val="24"/>
        </w:rPr>
        <w:t>сужения</w:t>
      </w:r>
      <w:r w:rsidR="00694E05">
        <w:rPr>
          <w:rFonts w:ascii="Times New Roman" w:hAnsi="Times New Roman" w:cs="Times New Roman"/>
          <w:sz w:val="24"/>
          <w:szCs w:val="24"/>
        </w:rPr>
        <w:t xml:space="preserve"> спроса на основные инвестиционные товары российских предприятий</w:t>
      </w:r>
      <w:r w:rsidR="00022D63">
        <w:rPr>
          <w:rFonts w:ascii="Times New Roman" w:hAnsi="Times New Roman" w:cs="Times New Roman"/>
          <w:sz w:val="24"/>
          <w:szCs w:val="24"/>
        </w:rPr>
        <w:t xml:space="preserve">, что вместе с демонтажем значительной части «оборонно-промышленного комплекса» привело к </w:t>
      </w:r>
      <w:r w:rsidR="003833D1">
        <w:rPr>
          <w:rFonts w:ascii="Times New Roman" w:hAnsi="Times New Roman" w:cs="Times New Roman"/>
          <w:sz w:val="24"/>
          <w:szCs w:val="24"/>
        </w:rPr>
        <w:t xml:space="preserve">падению экономики и потере целого ряда отраслей, в том числе стратегически важных – гражданское авиастроение, гражданская электроника,  </w:t>
      </w:r>
      <w:r w:rsidR="004320C1">
        <w:rPr>
          <w:rFonts w:ascii="Times New Roman" w:hAnsi="Times New Roman" w:cs="Times New Roman"/>
          <w:sz w:val="24"/>
          <w:szCs w:val="24"/>
        </w:rPr>
        <w:t>легкая промышленность</w:t>
      </w:r>
      <w:r w:rsidR="003833D1">
        <w:rPr>
          <w:rFonts w:ascii="Times New Roman" w:hAnsi="Times New Roman" w:cs="Times New Roman"/>
          <w:sz w:val="24"/>
          <w:szCs w:val="24"/>
        </w:rPr>
        <w:t xml:space="preserve">. </w:t>
      </w:r>
      <w:r>
        <w:rPr>
          <w:rFonts w:ascii="Times New Roman" w:hAnsi="Times New Roman" w:cs="Times New Roman"/>
          <w:sz w:val="24"/>
          <w:szCs w:val="24"/>
        </w:rPr>
        <w:t xml:space="preserve">Открытие экономики и снятие ограничений для рыночной активности предприятий и граждан совпало с обострением дефицита товаров и услуг потребительского рынка и реализовалось в форме обесценения трудовых доходов и в еще большей степени – трудовых накоплений. </w:t>
      </w:r>
      <w:r w:rsidR="003833D1">
        <w:rPr>
          <w:rFonts w:ascii="Times New Roman" w:hAnsi="Times New Roman" w:cs="Times New Roman"/>
          <w:sz w:val="24"/>
          <w:szCs w:val="24"/>
        </w:rPr>
        <w:t xml:space="preserve">Это создало негативный общественно-политический фон для восприятия рыночных изменений и для реализации необходимых реформ.  </w:t>
      </w:r>
    </w:p>
    <w:p w14:paraId="265DCF4B" w14:textId="77777777" w:rsidR="003833D1" w:rsidRDefault="003833D1"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Приватизация, проведенная в начале 90-х годов, быстро сформировала класс «новых собственников», но привела к негативному восприятию ее населением, формированию </w:t>
      </w:r>
      <w:r>
        <w:rPr>
          <w:rFonts w:ascii="Times New Roman" w:hAnsi="Times New Roman" w:cs="Times New Roman"/>
          <w:sz w:val="24"/>
          <w:szCs w:val="24"/>
        </w:rPr>
        <w:lastRenderedPageBreak/>
        <w:t xml:space="preserve">устойчивых «антирыночных» стереотипов у больших социальных групп. </w:t>
      </w:r>
      <w:r w:rsidR="00EC22A7">
        <w:rPr>
          <w:rFonts w:ascii="Times New Roman" w:hAnsi="Times New Roman" w:cs="Times New Roman"/>
          <w:sz w:val="24"/>
          <w:szCs w:val="24"/>
        </w:rPr>
        <w:t>Капитализм (и рыночная экономика в целом) не стали ассоциироваться со справедливостью.</w:t>
      </w:r>
    </w:p>
    <w:p w14:paraId="77E639D3" w14:textId="0B4ECBE8" w:rsidR="004320C1" w:rsidRDefault="004320C1"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условиях резкого падения доходов населения важнейшие социальные реформы в 90-х годах проведены не были. В результате</w:t>
      </w:r>
      <w:r w:rsidR="00E609DE">
        <w:rPr>
          <w:rFonts w:ascii="Times New Roman" w:hAnsi="Times New Roman" w:cs="Times New Roman"/>
          <w:sz w:val="24"/>
          <w:szCs w:val="24"/>
        </w:rPr>
        <w:t>,</w:t>
      </w:r>
      <w:r>
        <w:rPr>
          <w:rFonts w:ascii="Times New Roman" w:hAnsi="Times New Roman" w:cs="Times New Roman"/>
          <w:sz w:val="24"/>
          <w:szCs w:val="24"/>
        </w:rPr>
        <w:t xml:space="preserve"> уже</w:t>
      </w:r>
      <w:r w:rsidR="00E609DE">
        <w:rPr>
          <w:rFonts w:ascii="Times New Roman" w:hAnsi="Times New Roman" w:cs="Times New Roman"/>
          <w:sz w:val="24"/>
          <w:szCs w:val="24"/>
        </w:rPr>
        <w:t xml:space="preserve"> в новых условиях реализовалась и</w:t>
      </w:r>
      <w:r>
        <w:rPr>
          <w:rFonts w:ascii="Times New Roman" w:hAnsi="Times New Roman" w:cs="Times New Roman"/>
          <w:sz w:val="24"/>
          <w:szCs w:val="24"/>
        </w:rPr>
        <w:t xml:space="preserve"> стала институтом патерналистская модель социальной сферы</w:t>
      </w:r>
      <w:r w:rsidR="00ED08BB">
        <w:rPr>
          <w:rStyle w:val="af"/>
          <w:rFonts w:ascii="Times New Roman" w:hAnsi="Times New Roman" w:cs="Times New Roman"/>
          <w:sz w:val="24"/>
          <w:szCs w:val="24"/>
        </w:rPr>
        <w:footnoteReference w:id="2"/>
      </w:r>
      <w:r>
        <w:rPr>
          <w:rFonts w:ascii="Times New Roman" w:hAnsi="Times New Roman" w:cs="Times New Roman"/>
          <w:sz w:val="24"/>
          <w:szCs w:val="24"/>
        </w:rPr>
        <w:t xml:space="preserve">. </w:t>
      </w:r>
      <w:r w:rsidR="00705B4A">
        <w:rPr>
          <w:rFonts w:ascii="Times New Roman" w:hAnsi="Times New Roman" w:cs="Times New Roman"/>
          <w:sz w:val="24"/>
          <w:szCs w:val="24"/>
        </w:rPr>
        <w:t>В России сформировался экономико-социальный дуализм: при том что э</w:t>
      </w:r>
      <w:r>
        <w:rPr>
          <w:rFonts w:ascii="Times New Roman" w:hAnsi="Times New Roman" w:cs="Times New Roman"/>
          <w:sz w:val="24"/>
          <w:szCs w:val="24"/>
        </w:rPr>
        <w:t>кономика – рыночная, основанная на частной собственности, социальная сфера построен</w:t>
      </w:r>
      <w:r w:rsidR="00705B4A">
        <w:rPr>
          <w:rFonts w:ascii="Times New Roman" w:hAnsi="Times New Roman" w:cs="Times New Roman"/>
          <w:sz w:val="24"/>
          <w:szCs w:val="24"/>
        </w:rPr>
        <w:t>а</w:t>
      </w:r>
      <w:r>
        <w:rPr>
          <w:rFonts w:ascii="Times New Roman" w:hAnsi="Times New Roman" w:cs="Times New Roman"/>
          <w:sz w:val="24"/>
          <w:szCs w:val="24"/>
        </w:rPr>
        <w:t xml:space="preserve"> на государственных гарантиях и обеспечивае</w:t>
      </w:r>
      <w:r w:rsidR="00444466">
        <w:rPr>
          <w:rFonts w:ascii="Times New Roman" w:hAnsi="Times New Roman" w:cs="Times New Roman"/>
          <w:sz w:val="24"/>
          <w:szCs w:val="24"/>
        </w:rPr>
        <w:t>тся</w:t>
      </w:r>
      <w:r>
        <w:rPr>
          <w:rFonts w:ascii="Times New Roman" w:hAnsi="Times New Roman" w:cs="Times New Roman"/>
          <w:sz w:val="24"/>
          <w:szCs w:val="24"/>
        </w:rPr>
        <w:t xml:space="preserve"> через государственные и муниципальные учреждения. </w:t>
      </w:r>
    </w:p>
    <w:p w14:paraId="56453BBA" w14:textId="61C4B873" w:rsidR="00ED08BB" w:rsidRDefault="00ED08BB"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Важной особенностью патерналистской модели социальной сферы является «стрельба по площадям», предоставление социальных благ независимо от нуждаемости. </w:t>
      </w:r>
      <w:r w:rsidR="00A33B3B">
        <w:rPr>
          <w:rFonts w:ascii="Times New Roman" w:hAnsi="Times New Roman" w:cs="Times New Roman"/>
          <w:sz w:val="24"/>
          <w:szCs w:val="24"/>
        </w:rPr>
        <w:t xml:space="preserve">Если на первом этапе (90-е – начало 2000-х) </w:t>
      </w:r>
      <w:r w:rsidR="00392F1B">
        <w:rPr>
          <w:rFonts w:ascii="Times New Roman" w:hAnsi="Times New Roman" w:cs="Times New Roman"/>
          <w:sz w:val="24"/>
          <w:szCs w:val="24"/>
        </w:rPr>
        <w:t>потери экономики от такого «слепого перераспределения» были относительно невелики, то с середины прошлого десятилетия, когда средний класс превысил треть населения, а дв</w:t>
      </w:r>
      <w:r w:rsidR="000C12AC">
        <w:rPr>
          <w:rFonts w:ascii="Times New Roman" w:hAnsi="Times New Roman" w:cs="Times New Roman"/>
          <w:sz w:val="24"/>
          <w:szCs w:val="24"/>
        </w:rPr>
        <w:t>е</w:t>
      </w:r>
      <w:r w:rsidR="00392F1B">
        <w:rPr>
          <w:rFonts w:ascii="Times New Roman" w:hAnsi="Times New Roman" w:cs="Times New Roman"/>
          <w:sz w:val="24"/>
          <w:szCs w:val="24"/>
        </w:rPr>
        <w:t xml:space="preserve"> трети солидарной пенсии стали доставаться продолжающим активно работать гражданам, сохранение патерналистской модели стало непосильным бременем для экономики. При этом оборотной стороной является </w:t>
      </w:r>
      <w:proofErr w:type="spellStart"/>
      <w:r w:rsidR="00392F1B">
        <w:rPr>
          <w:rFonts w:ascii="Times New Roman" w:hAnsi="Times New Roman" w:cs="Times New Roman"/>
          <w:sz w:val="24"/>
          <w:szCs w:val="24"/>
        </w:rPr>
        <w:t>недостижение</w:t>
      </w:r>
      <w:proofErr w:type="spellEnd"/>
      <w:r w:rsidR="00392F1B">
        <w:rPr>
          <w:rFonts w:ascii="Times New Roman" w:hAnsi="Times New Roman" w:cs="Times New Roman"/>
          <w:sz w:val="24"/>
          <w:szCs w:val="24"/>
        </w:rPr>
        <w:t xml:space="preserve"> необходимого качества социальных благ (недостаточная поддержка одиноких неработающих пенсионеров, семей с детьми, низкое качество значительной части профессионального образования и пр.)</w:t>
      </w:r>
    </w:p>
    <w:p w14:paraId="391133F3" w14:textId="68F1449E" w:rsidR="00ED08BB" w:rsidRDefault="00ED08BB"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Государство</w:t>
      </w:r>
      <w:r w:rsidR="00E609DE">
        <w:rPr>
          <w:rFonts w:ascii="Times New Roman" w:hAnsi="Times New Roman" w:cs="Times New Roman"/>
          <w:sz w:val="24"/>
          <w:szCs w:val="24"/>
        </w:rPr>
        <w:t>,</w:t>
      </w:r>
      <w:r>
        <w:rPr>
          <w:rFonts w:ascii="Times New Roman" w:hAnsi="Times New Roman" w:cs="Times New Roman"/>
          <w:sz w:val="24"/>
          <w:szCs w:val="24"/>
        </w:rPr>
        <w:t xml:space="preserve"> вынужденное </w:t>
      </w:r>
      <w:proofErr w:type="spellStart"/>
      <w:r>
        <w:rPr>
          <w:rFonts w:ascii="Times New Roman" w:hAnsi="Times New Roman" w:cs="Times New Roman"/>
          <w:sz w:val="24"/>
          <w:szCs w:val="24"/>
        </w:rPr>
        <w:t>мобилизовывать</w:t>
      </w:r>
      <w:proofErr w:type="spellEnd"/>
      <w:r>
        <w:rPr>
          <w:rFonts w:ascii="Times New Roman" w:hAnsi="Times New Roman" w:cs="Times New Roman"/>
          <w:sz w:val="24"/>
          <w:szCs w:val="24"/>
        </w:rPr>
        <w:t xml:space="preserve"> все возрастающий объем средств для социальной сферы</w:t>
      </w:r>
      <w:r w:rsidR="00EC22A7">
        <w:rPr>
          <w:rFonts w:ascii="Times New Roman" w:hAnsi="Times New Roman" w:cs="Times New Roman"/>
          <w:sz w:val="24"/>
          <w:szCs w:val="24"/>
        </w:rPr>
        <w:t xml:space="preserve">, усиливало нагрузку на </w:t>
      </w:r>
      <w:r w:rsidR="00A33B3B">
        <w:rPr>
          <w:rFonts w:ascii="Times New Roman" w:hAnsi="Times New Roman" w:cs="Times New Roman"/>
          <w:sz w:val="24"/>
          <w:szCs w:val="24"/>
        </w:rPr>
        <w:t>экономически активных субъектов – как в форме налоговых и таможенных сборов, так и в форме «принудительной благотворительности».</w:t>
      </w:r>
      <w:r w:rsidR="00392F1B">
        <w:rPr>
          <w:rFonts w:ascii="Times New Roman" w:hAnsi="Times New Roman" w:cs="Times New Roman"/>
          <w:sz w:val="24"/>
          <w:szCs w:val="24"/>
        </w:rPr>
        <w:t xml:space="preserve"> Это привело к уходу значительной части предпринимателей в тень, </w:t>
      </w:r>
      <w:r w:rsidR="00392F1B" w:rsidRPr="008552EB">
        <w:rPr>
          <w:rFonts w:ascii="Times New Roman" w:hAnsi="Times New Roman" w:cs="Times New Roman"/>
          <w:b/>
          <w:sz w:val="24"/>
          <w:szCs w:val="24"/>
        </w:rPr>
        <w:t xml:space="preserve">росту </w:t>
      </w:r>
      <w:r w:rsidR="004B70FE" w:rsidRPr="008552EB">
        <w:rPr>
          <w:rFonts w:ascii="Times New Roman" w:hAnsi="Times New Roman" w:cs="Times New Roman"/>
          <w:b/>
          <w:sz w:val="24"/>
          <w:szCs w:val="24"/>
        </w:rPr>
        <w:t xml:space="preserve">доли </w:t>
      </w:r>
      <w:r w:rsidR="00392F1B" w:rsidRPr="008552EB">
        <w:rPr>
          <w:rFonts w:ascii="Times New Roman" w:hAnsi="Times New Roman" w:cs="Times New Roman"/>
          <w:b/>
          <w:sz w:val="24"/>
          <w:szCs w:val="24"/>
        </w:rPr>
        <w:t>неформальных контрактов и трудовых отношений по мере роста экономики</w:t>
      </w:r>
      <w:r w:rsidR="00392F1B">
        <w:rPr>
          <w:rFonts w:ascii="Times New Roman" w:hAnsi="Times New Roman" w:cs="Times New Roman"/>
          <w:sz w:val="24"/>
          <w:szCs w:val="24"/>
        </w:rPr>
        <w:t xml:space="preserve">. Масштабы неформального сектора можно оценить по его доле в занятости – за последние 15 лет она выросла </w:t>
      </w:r>
      <w:r w:rsidR="004B70FE">
        <w:rPr>
          <w:rFonts w:ascii="Times New Roman" w:hAnsi="Times New Roman" w:cs="Times New Roman"/>
          <w:sz w:val="24"/>
          <w:szCs w:val="24"/>
        </w:rPr>
        <w:t xml:space="preserve">в полтора раза и </w:t>
      </w:r>
      <w:r w:rsidR="008D5B3B">
        <w:rPr>
          <w:rFonts w:ascii="Times New Roman" w:hAnsi="Times New Roman" w:cs="Times New Roman"/>
          <w:sz w:val="24"/>
          <w:szCs w:val="24"/>
        </w:rPr>
        <w:t>составляет 25-30% общей занятости</w:t>
      </w:r>
      <w:r w:rsidR="00392F1B">
        <w:rPr>
          <w:rFonts w:ascii="Times New Roman" w:hAnsi="Times New Roman" w:cs="Times New Roman"/>
          <w:sz w:val="24"/>
          <w:szCs w:val="24"/>
        </w:rPr>
        <w:t xml:space="preserve">.  </w:t>
      </w:r>
    </w:p>
    <w:p w14:paraId="6402C1E6" w14:textId="77777777" w:rsidR="00A33B3B" w:rsidRDefault="00A33B3B"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Наряду с этим </w:t>
      </w:r>
      <w:r w:rsidR="00392F1B">
        <w:rPr>
          <w:rFonts w:ascii="Times New Roman" w:hAnsi="Times New Roman" w:cs="Times New Roman"/>
          <w:sz w:val="24"/>
          <w:szCs w:val="24"/>
        </w:rPr>
        <w:t xml:space="preserve">развивались позитивные процессы. </w:t>
      </w:r>
      <w:r>
        <w:rPr>
          <w:rFonts w:ascii="Times New Roman" w:hAnsi="Times New Roman" w:cs="Times New Roman"/>
          <w:sz w:val="24"/>
          <w:szCs w:val="24"/>
        </w:rPr>
        <w:t>Открытие экономики</w:t>
      </w:r>
      <w:r w:rsidR="00392F1B">
        <w:rPr>
          <w:rFonts w:ascii="Times New Roman" w:hAnsi="Times New Roman" w:cs="Times New Roman"/>
          <w:sz w:val="24"/>
          <w:szCs w:val="24"/>
        </w:rPr>
        <w:t>, широкий охват профессиональным образованием</w:t>
      </w:r>
      <w:r>
        <w:rPr>
          <w:rFonts w:ascii="Times New Roman" w:hAnsi="Times New Roman" w:cs="Times New Roman"/>
          <w:sz w:val="24"/>
          <w:szCs w:val="24"/>
        </w:rPr>
        <w:t xml:space="preserve"> и политическая свобода сформировали быстро растущий средний класс – если в 2000 году он составлял 15% населения, то в настоящее время – до 40%. Важнейшей мерой политики экономического поощрения среднего класса стала </w:t>
      </w:r>
      <w:r w:rsidR="00D94DA3">
        <w:rPr>
          <w:rFonts w:ascii="Times New Roman" w:hAnsi="Times New Roman" w:cs="Times New Roman"/>
          <w:sz w:val="24"/>
          <w:szCs w:val="24"/>
        </w:rPr>
        <w:t xml:space="preserve">низкая и </w:t>
      </w:r>
      <w:r>
        <w:rPr>
          <w:rFonts w:ascii="Times New Roman" w:hAnsi="Times New Roman" w:cs="Times New Roman"/>
          <w:sz w:val="24"/>
          <w:szCs w:val="24"/>
        </w:rPr>
        <w:t>плоская шкала налогообложения</w:t>
      </w:r>
      <w:r w:rsidR="00705B4A">
        <w:rPr>
          <w:rFonts w:ascii="Times New Roman" w:hAnsi="Times New Roman" w:cs="Times New Roman"/>
          <w:sz w:val="24"/>
          <w:szCs w:val="24"/>
        </w:rPr>
        <w:t xml:space="preserve"> физических лиц</w:t>
      </w:r>
      <w:r>
        <w:rPr>
          <w:rFonts w:ascii="Times New Roman" w:hAnsi="Times New Roman" w:cs="Times New Roman"/>
          <w:sz w:val="24"/>
          <w:szCs w:val="24"/>
        </w:rPr>
        <w:t xml:space="preserve">, снимающая у граждан психологические барьеры к повышению своего дохода, к экономической (трудовой или предпринимательской) активности. </w:t>
      </w:r>
    </w:p>
    <w:p w14:paraId="58D57F7A" w14:textId="71B6D2E6" w:rsidR="00D94DA3" w:rsidRDefault="004B70FE"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Практически вся экономи</w:t>
      </w:r>
      <w:r w:rsidR="00E609DE">
        <w:rPr>
          <w:rFonts w:ascii="Times New Roman" w:hAnsi="Times New Roman" w:cs="Times New Roman"/>
          <w:sz w:val="24"/>
          <w:szCs w:val="24"/>
        </w:rPr>
        <w:t>ка уже к концу 90-х годов</w:t>
      </w:r>
      <w:r>
        <w:rPr>
          <w:rFonts w:ascii="Times New Roman" w:hAnsi="Times New Roman" w:cs="Times New Roman"/>
          <w:sz w:val="24"/>
          <w:szCs w:val="24"/>
        </w:rPr>
        <w:t xml:space="preserve"> была организована на рельсах частного предпринимательства. </w:t>
      </w:r>
      <w:r w:rsidR="00F83BE7">
        <w:rPr>
          <w:rFonts w:ascii="Times New Roman" w:hAnsi="Times New Roman" w:cs="Times New Roman"/>
          <w:sz w:val="24"/>
          <w:szCs w:val="24"/>
        </w:rPr>
        <w:t>Первые 10 лет российского капитализма были</w:t>
      </w:r>
      <w:r w:rsidR="00D94DA3">
        <w:rPr>
          <w:rFonts w:ascii="Times New Roman" w:hAnsi="Times New Roman" w:cs="Times New Roman"/>
          <w:sz w:val="24"/>
          <w:szCs w:val="24"/>
        </w:rPr>
        <w:t>,</w:t>
      </w:r>
      <w:r w:rsidR="00F83BE7">
        <w:rPr>
          <w:rFonts w:ascii="Times New Roman" w:hAnsi="Times New Roman" w:cs="Times New Roman"/>
          <w:sz w:val="24"/>
          <w:szCs w:val="24"/>
        </w:rPr>
        <w:t xml:space="preserve"> однако</w:t>
      </w:r>
      <w:r w:rsidR="00D94DA3">
        <w:rPr>
          <w:rFonts w:ascii="Times New Roman" w:hAnsi="Times New Roman" w:cs="Times New Roman"/>
          <w:sz w:val="24"/>
          <w:szCs w:val="24"/>
        </w:rPr>
        <w:t>,</w:t>
      </w:r>
      <w:r w:rsidR="00F83BE7">
        <w:rPr>
          <w:rFonts w:ascii="Times New Roman" w:hAnsi="Times New Roman" w:cs="Times New Roman"/>
          <w:sz w:val="24"/>
          <w:szCs w:val="24"/>
        </w:rPr>
        <w:t xml:space="preserve"> отмечены двумя «родимыми пятнами»: </w:t>
      </w:r>
      <w:r w:rsidR="00D94DA3">
        <w:rPr>
          <w:rFonts w:ascii="Times New Roman" w:hAnsi="Times New Roman" w:cs="Times New Roman"/>
          <w:sz w:val="24"/>
          <w:szCs w:val="24"/>
        </w:rPr>
        <w:t xml:space="preserve">спекулятивное предпринимательство и оффшорный капитализм. </w:t>
      </w:r>
    </w:p>
    <w:p w14:paraId="11884CE1" w14:textId="77777777" w:rsidR="004B70FE" w:rsidRDefault="00D94DA3"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F83BE7">
        <w:rPr>
          <w:rFonts w:ascii="Times New Roman" w:hAnsi="Times New Roman" w:cs="Times New Roman"/>
          <w:sz w:val="24"/>
          <w:szCs w:val="24"/>
        </w:rPr>
        <w:t xml:space="preserve">сновная часть предпринимательского дохода не была связана с </w:t>
      </w:r>
      <w:r w:rsidR="00D70B0B">
        <w:rPr>
          <w:rFonts w:ascii="Times New Roman" w:hAnsi="Times New Roman" w:cs="Times New Roman"/>
          <w:sz w:val="24"/>
          <w:szCs w:val="24"/>
        </w:rPr>
        <w:t xml:space="preserve">технологическими инновациями или даже </w:t>
      </w:r>
      <w:r>
        <w:rPr>
          <w:rFonts w:ascii="Times New Roman" w:hAnsi="Times New Roman" w:cs="Times New Roman"/>
          <w:sz w:val="24"/>
          <w:szCs w:val="24"/>
        </w:rPr>
        <w:t xml:space="preserve">просто </w:t>
      </w:r>
      <w:r w:rsidR="00D70B0B">
        <w:rPr>
          <w:rFonts w:ascii="Times New Roman" w:hAnsi="Times New Roman" w:cs="Times New Roman"/>
          <w:sz w:val="24"/>
          <w:szCs w:val="24"/>
        </w:rPr>
        <w:t xml:space="preserve">новыми инвестициями в технологии – она </w:t>
      </w:r>
      <w:r w:rsidR="00F83BE7">
        <w:rPr>
          <w:rFonts w:ascii="Times New Roman" w:hAnsi="Times New Roman" w:cs="Times New Roman"/>
          <w:sz w:val="24"/>
          <w:szCs w:val="24"/>
        </w:rPr>
        <w:t>имел</w:t>
      </w:r>
      <w:r w:rsidR="00D70B0B">
        <w:rPr>
          <w:rFonts w:ascii="Times New Roman" w:hAnsi="Times New Roman" w:cs="Times New Roman"/>
          <w:sz w:val="24"/>
          <w:szCs w:val="24"/>
        </w:rPr>
        <w:t>а</w:t>
      </w:r>
      <w:r w:rsidR="00F83BE7">
        <w:rPr>
          <w:rFonts w:ascii="Times New Roman" w:hAnsi="Times New Roman" w:cs="Times New Roman"/>
          <w:sz w:val="24"/>
          <w:szCs w:val="24"/>
        </w:rPr>
        <w:t xml:space="preserve"> источником или природную ренту, или</w:t>
      </w:r>
      <w:r w:rsidR="00D70B0B">
        <w:rPr>
          <w:rFonts w:ascii="Times New Roman" w:hAnsi="Times New Roman" w:cs="Times New Roman"/>
          <w:sz w:val="24"/>
          <w:szCs w:val="24"/>
        </w:rPr>
        <w:t xml:space="preserve"> политическую ренту (искусственное монопольное положение) или – особенно в 90-е годы – перепродажу доставшихся по дешевке активов</w:t>
      </w:r>
      <w:r w:rsidR="006F3A62">
        <w:rPr>
          <w:rFonts w:ascii="Times New Roman" w:hAnsi="Times New Roman" w:cs="Times New Roman"/>
          <w:sz w:val="24"/>
          <w:szCs w:val="24"/>
        </w:rPr>
        <w:t xml:space="preserve">. Можно (очень грубо) назвать этот тип </w:t>
      </w:r>
      <w:r w:rsidR="00640776">
        <w:rPr>
          <w:rFonts w:ascii="Times New Roman" w:hAnsi="Times New Roman" w:cs="Times New Roman"/>
          <w:sz w:val="24"/>
          <w:szCs w:val="24"/>
        </w:rPr>
        <w:t xml:space="preserve">капитализма </w:t>
      </w:r>
      <w:r w:rsidR="006F3A62">
        <w:rPr>
          <w:rFonts w:ascii="Times New Roman" w:hAnsi="Times New Roman" w:cs="Times New Roman"/>
          <w:sz w:val="24"/>
          <w:szCs w:val="24"/>
        </w:rPr>
        <w:t>спекулятивным.</w:t>
      </w:r>
      <w:r w:rsidR="00F83BE7">
        <w:rPr>
          <w:rFonts w:ascii="Times New Roman" w:hAnsi="Times New Roman" w:cs="Times New Roman"/>
          <w:sz w:val="24"/>
          <w:szCs w:val="24"/>
        </w:rPr>
        <w:t xml:space="preserve"> </w:t>
      </w:r>
    </w:p>
    <w:p w14:paraId="34FA1A3F" w14:textId="77777777" w:rsidR="004B70FE" w:rsidRDefault="000965C4"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Слабость правового режима </w:t>
      </w:r>
      <w:r w:rsidR="00640776">
        <w:rPr>
          <w:rFonts w:ascii="Times New Roman" w:hAnsi="Times New Roman" w:cs="Times New Roman"/>
          <w:sz w:val="24"/>
          <w:szCs w:val="24"/>
        </w:rPr>
        <w:t xml:space="preserve">создавала все 90-е годы повышенные риски для ведения бизнеса. </w:t>
      </w:r>
      <w:r w:rsidR="00D94DA3">
        <w:rPr>
          <w:rFonts w:ascii="Times New Roman" w:hAnsi="Times New Roman" w:cs="Times New Roman"/>
          <w:sz w:val="24"/>
          <w:szCs w:val="24"/>
        </w:rPr>
        <w:t>При этом возник «оффшорный капитализм»: новые частные собственники широко использовали у</w:t>
      </w:r>
      <w:r w:rsidR="00640776">
        <w:rPr>
          <w:rFonts w:ascii="Times New Roman" w:hAnsi="Times New Roman" w:cs="Times New Roman"/>
          <w:sz w:val="24"/>
          <w:szCs w:val="24"/>
        </w:rPr>
        <w:t>в</w:t>
      </w:r>
      <w:r w:rsidR="00D94DA3">
        <w:rPr>
          <w:rFonts w:ascii="Times New Roman" w:hAnsi="Times New Roman" w:cs="Times New Roman"/>
          <w:sz w:val="24"/>
          <w:szCs w:val="24"/>
        </w:rPr>
        <w:t xml:space="preserve">од </w:t>
      </w:r>
      <w:r w:rsidR="00640776">
        <w:rPr>
          <w:rFonts w:ascii="Times New Roman" w:hAnsi="Times New Roman" w:cs="Times New Roman"/>
          <w:sz w:val="24"/>
          <w:szCs w:val="24"/>
        </w:rPr>
        <w:t xml:space="preserve">в зарубежные юрисдикции как «титулов собственности» так и сделок. </w:t>
      </w:r>
    </w:p>
    <w:p w14:paraId="79CDB9CD" w14:textId="77777777" w:rsidR="00C96E9B" w:rsidRDefault="00383316"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b/>
          <w:sz w:val="24"/>
          <w:szCs w:val="24"/>
        </w:rPr>
        <w:t>Располагая крайне ограниченными ресурсами, г</w:t>
      </w:r>
      <w:r w:rsidR="00C96E9B" w:rsidRPr="008552EB">
        <w:rPr>
          <w:rFonts w:ascii="Times New Roman" w:hAnsi="Times New Roman" w:cs="Times New Roman"/>
          <w:b/>
          <w:sz w:val="24"/>
          <w:szCs w:val="24"/>
        </w:rPr>
        <w:t>осударство «эпохи Ельцина» превратилось в вынужденно либерального игрока</w:t>
      </w:r>
      <w:r w:rsidR="00C96E9B">
        <w:rPr>
          <w:rFonts w:ascii="Times New Roman" w:hAnsi="Times New Roman" w:cs="Times New Roman"/>
          <w:sz w:val="24"/>
          <w:szCs w:val="24"/>
        </w:rPr>
        <w:t>, который претендует только на установление правил, но при этом для обеспечения реализации своей политики вынужден вступать в коалиции с определенными частными игроками (вспомним хотя бы выборы Ельцина в 1996 году, «</w:t>
      </w:r>
      <w:proofErr w:type="spellStart"/>
      <w:r w:rsidR="00C96E9B">
        <w:rPr>
          <w:rFonts w:ascii="Times New Roman" w:hAnsi="Times New Roman" w:cs="Times New Roman"/>
          <w:sz w:val="24"/>
          <w:szCs w:val="24"/>
        </w:rPr>
        <w:t>семибанкирщину</w:t>
      </w:r>
      <w:proofErr w:type="spellEnd"/>
      <w:r w:rsidR="00C96E9B">
        <w:rPr>
          <w:rFonts w:ascii="Times New Roman" w:hAnsi="Times New Roman" w:cs="Times New Roman"/>
          <w:sz w:val="24"/>
          <w:szCs w:val="24"/>
        </w:rPr>
        <w:t>», залоговые аукционы). И в федеральном центре, и на местах (в городах и регионах) возникли</w:t>
      </w:r>
      <w:r>
        <w:rPr>
          <w:rFonts w:ascii="Times New Roman" w:hAnsi="Times New Roman" w:cs="Times New Roman"/>
          <w:sz w:val="24"/>
          <w:szCs w:val="24"/>
        </w:rPr>
        <w:t xml:space="preserve"> многочисленные явления олигархического контроля за определенными этажами исполнительной и законодательной власти.</w:t>
      </w:r>
      <w:r w:rsidR="00C96E9B">
        <w:rPr>
          <w:rFonts w:ascii="Times New Roman" w:hAnsi="Times New Roman" w:cs="Times New Roman"/>
          <w:sz w:val="24"/>
          <w:szCs w:val="24"/>
        </w:rPr>
        <w:t xml:space="preserve"> </w:t>
      </w:r>
    </w:p>
    <w:p w14:paraId="645DE249" w14:textId="238BA1D8" w:rsidR="00383316" w:rsidRDefault="00383316"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Олигархия («купи себе немного государства») в России 90-х отличалась двумя особенностями. Во-первых, ее интересы носили краткосрочный характер, контроль «элементов государства» был направлен на решение определенных совершенно конкретных вопросов получения или защиты определенных активов или создания специальных правовых режимов для конкретного бизнеса. Во-вторых, </w:t>
      </w:r>
      <w:r w:rsidR="00CB0049">
        <w:rPr>
          <w:rFonts w:ascii="Times New Roman" w:hAnsi="Times New Roman" w:cs="Times New Roman"/>
          <w:sz w:val="24"/>
          <w:szCs w:val="24"/>
        </w:rPr>
        <w:t>представители олигархического бизнеса имели значительную часть интересов вне России (как результат оффшорной стратегии гарантирования своих активов). Это не позволило олигархам укорениться в российской политике, обрести устойчивую социальную поддержку, даже со стороны нарождающегося среднего класса и тем более – со стороны малого и среднего бизнеса. Ситуативный характер имели и коалиции олигархов с элементами властных структур.</w:t>
      </w:r>
    </w:p>
    <w:p w14:paraId="15AB9BBA" w14:textId="77777777" w:rsidR="00444466" w:rsidRDefault="00444466" w:rsidP="00444466">
      <w:pPr>
        <w:pStyle w:val="af0"/>
        <w:spacing w:line="360" w:lineRule="auto"/>
        <w:ind w:left="0" w:firstLine="709"/>
        <w:jc w:val="both"/>
        <w:rPr>
          <w:rFonts w:ascii="Times New Roman" w:hAnsi="Times New Roman" w:cs="Times New Roman"/>
          <w:b/>
          <w:sz w:val="24"/>
          <w:szCs w:val="24"/>
        </w:rPr>
      </w:pPr>
    </w:p>
    <w:p w14:paraId="3ACFF63C" w14:textId="77777777" w:rsidR="00791C2A" w:rsidRDefault="00791C2A" w:rsidP="00444466">
      <w:pPr>
        <w:pStyle w:val="af0"/>
        <w:spacing w:line="360" w:lineRule="auto"/>
        <w:ind w:left="0" w:firstLine="709"/>
        <w:jc w:val="both"/>
        <w:rPr>
          <w:rFonts w:ascii="Times New Roman" w:hAnsi="Times New Roman" w:cs="Times New Roman"/>
          <w:b/>
          <w:sz w:val="24"/>
          <w:szCs w:val="24"/>
        </w:rPr>
      </w:pPr>
    </w:p>
    <w:p w14:paraId="0417C1B3" w14:textId="77777777" w:rsidR="00444466" w:rsidRPr="00791C2A" w:rsidRDefault="00444466" w:rsidP="00444466">
      <w:pPr>
        <w:pStyle w:val="af0"/>
        <w:spacing w:line="360" w:lineRule="auto"/>
        <w:ind w:left="0" w:firstLine="709"/>
        <w:jc w:val="both"/>
        <w:rPr>
          <w:rFonts w:ascii="Times New Roman" w:hAnsi="Times New Roman" w:cs="Times New Roman"/>
          <w:b/>
          <w:sz w:val="26"/>
          <w:szCs w:val="26"/>
        </w:rPr>
      </w:pPr>
      <w:r w:rsidRPr="00791C2A">
        <w:rPr>
          <w:rFonts w:ascii="Times New Roman" w:hAnsi="Times New Roman" w:cs="Times New Roman"/>
          <w:b/>
          <w:sz w:val="26"/>
          <w:szCs w:val="26"/>
        </w:rPr>
        <w:t>2.3. «Путинский» период</w:t>
      </w:r>
    </w:p>
    <w:p w14:paraId="3753E332" w14:textId="16F3803F" w:rsidR="004320C1" w:rsidRDefault="00D94DA3"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Путина, пришедшая к власти в 2000 году, вынуждена </w:t>
      </w:r>
      <w:r w:rsidR="00C96E9B">
        <w:rPr>
          <w:rFonts w:ascii="Times New Roman" w:hAnsi="Times New Roman" w:cs="Times New Roman"/>
          <w:sz w:val="24"/>
          <w:szCs w:val="24"/>
        </w:rPr>
        <w:t xml:space="preserve">была </w:t>
      </w:r>
      <w:r>
        <w:rPr>
          <w:rFonts w:ascii="Times New Roman" w:hAnsi="Times New Roman" w:cs="Times New Roman"/>
          <w:sz w:val="24"/>
          <w:szCs w:val="24"/>
        </w:rPr>
        <w:t>иметь дело именно с такими явлениями. С одной стороны, были предприняты меры для поощрения частой инициативы</w:t>
      </w:r>
      <w:r w:rsidR="00640776">
        <w:rPr>
          <w:rFonts w:ascii="Times New Roman" w:hAnsi="Times New Roman" w:cs="Times New Roman"/>
          <w:sz w:val="24"/>
          <w:szCs w:val="24"/>
        </w:rPr>
        <w:t xml:space="preserve"> как на уровне предпринимательской</w:t>
      </w:r>
      <w:r w:rsidR="00117466">
        <w:rPr>
          <w:rFonts w:ascii="Times New Roman" w:hAnsi="Times New Roman" w:cs="Times New Roman"/>
          <w:sz w:val="24"/>
          <w:szCs w:val="24"/>
        </w:rPr>
        <w:t>,</w:t>
      </w:r>
      <w:r w:rsidR="00640776">
        <w:rPr>
          <w:rFonts w:ascii="Times New Roman" w:hAnsi="Times New Roman" w:cs="Times New Roman"/>
          <w:sz w:val="24"/>
          <w:szCs w:val="24"/>
        </w:rPr>
        <w:t xml:space="preserve"> так и трудовой активности. Мы их </w:t>
      </w:r>
      <w:r w:rsidR="00640776">
        <w:rPr>
          <w:rFonts w:ascii="Times New Roman" w:hAnsi="Times New Roman" w:cs="Times New Roman"/>
          <w:sz w:val="24"/>
          <w:szCs w:val="24"/>
        </w:rPr>
        <w:lastRenderedPageBreak/>
        <w:t>уже перечислили: это упрощение таможенны</w:t>
      </w:r>
      <w:r w:rsidR="00C574A3">
        <w:rPr>
          <w:rFonts w:ascii="Times New Roman" w:hAnsi="Times New Roman" w:cs="Times New Roman"/>
          <w:sz w:val="24"/>
          <w:szCs w:val="24"/>
        </w:rPr>
        <w:t>х процедур, низкая и плоская шка</w:t>
      </w:r>
      <w:r w:rsidR="00640776">
        <w:rPr>
          <w:rFonts w:ascii="Times New Roman" w:hAnsi="Times New Roman" w:cs="Times New Roman"/>
          <w:sz w:val="24"/>
          <w:szCs w:val="24"/>
        </w:rPr>
        <w:t xml:space="preserve">ла подоходного налога.  Постепенно </w:t>
      </w:r>
      <w:r w:rsidR="00060854">
        <w:rPr>
          <w:rFonts w:ascii="Times New Roman" w:hAnsi="Times New Roman" w:cs="Times New Roman"/>
          <w:sz w:val="24"/>
          <w:szCs w:val="24"/>
        </w:rPr>
        <w:t>вы</w:t>
      </w:r>
      <w:r w:rsidR="00640776">
        <w:rPr>
          <w:rFonts w:ascii="Times New Roman" w:hAnsi="Times New Roman" w:cs="Times New Roman"/>
          <w:sz w:val="24"/>
          <w:szCs w:val="24"/>
        </w:rPr>
        <w:t>росла правовая защищенность сделок и собственности</w:t>
      </w:r>
      <w:r w:rsidR="00860B14">
        <w:rPr>
          <w:rFonts w:ascii="Times New Roman" w:hAnsi="Times New Roman" w:cs="Times New Roman"/>
          <w:sz w:val="24"/>
          <w:szCs w:val="24"/>
        </w:rPr>
        <w:t>.</w:t>
      </w:r>
      <w:r w:rsidR="00640776">
        <w:rPr>
          <w:rFonts w:ascii="Times New Roman" w:hAnsi="Times New Roman" w:cs="Times New Roman"/>
          <w:sz w:val="24"/>
          <w:szCs w:val="24"/>
        </w:rPr>
        <w:t xml:space="preserve">  </w:t>
      </w:r>
    </w:p>
    <w:p w14:paraId="283FD30D" w14:textId="4BF5E4A9" w:rsidR="00860B14" w:rsidRDefault="00860B14"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другой стороны, </w:t>
      </w:r>
      <w:r w:rsidR="00C96E9B">
        <w:rPr>
          <w:rFonts w:ascii="Times New Roman" w:hAnsi="Times New Roman" w:cs="Times New Roman"/>
          <w:sz w:val="24"/>
          <w:szCs w:val="24"/>
        </w:rPr>
        <w:t xml:space="preserve">необходимость укрепления государства требовала концентрации ресурсов, </w:t>
      </w:r>
      <w:proofErr w:type="spellStart"/>
      <w:r w:rsidR="00C96E9B">
        <w:rPr>
          <w:rFonts w:ascii="Times New Roman" w:hAnsi="Times New Roman" w:cs="Times New Roman"/>
          <w:sz w:val="24"/>
          <w:szCs w:val="24"/>
        </w:rPr>
        <w:t>забирания</w:t>
      </w:r>
      <w:proofErr w:type="spellEnd"/>
      <w:r w:rsidR="00C96E9B">
        <w:rPr>
          <w:rFonts w:ascii="Times New Roman" w:hAnsi="Times New Roman" w:cs="Times New Roman"/>
          <w:sz w:val="24"/>
          <w:szCs w:val="24"/>
        </w:rPr>
        <w:t xml:space="preserve"> их у частных игроков – конкурентов государства. Сначала из рук олигархов были из</w:t>
      </w:r>
      <w:r w:rsidR="00815B91">
        <w:rPr>
          <w:rFonts w:ascii="Times New Roman" w:hAnsi="Times New Roman" w:cs="Times New Roman"/>
          <w:sz w:val="24"/>
          <w:szCs w:val="24"/>
        </w:rPr>
        <w:t>ъ</w:t>
      </w:r>
      <w:r w:rsidR="00C96E9B">
        <w:rPr>
          <w:rFonts w:ascii="Times New Roman" w:hAnsi="Times New Roman" w:cs="Times New Roman"/>
          <w:sz w:val="24"/>
          <w:szCs w:val="24"/>
        </w:rPr>
        <w:t>яты политические возможности, затем электронные СМИ как ключевой канал влияния на общественное мнение, затем – активы, основанные на праве распоряжения природной рентой.</w:t>
      </w:r>
    </w:p>
    <w:p w14:paraId="33906F84" w14:textId="77777777" w:rsidR="00A863A6" w:rsidRDefault="00C96E9B"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860B14">
        <w:rPr>
          <w:rFonts w:ascii="Times New Roman" w:hAnsi="Times New Roman" w:cs="Times New Roman"/>
          <w:sz w:val="24"/>
          <w:szCs w:val="24"/>
        </w:rPr>
        <w:t xml:space="preserve">же в первой половине 2000-х годов был сделан выбор в пользу фактически повторной национализации основных активов ТЭК. </w:t>
      </w:r>
      <w:r w:rsidR="00A863A6">
        <w:rPr>
          <w:rFonts w:ascii="Times New Roman" w:hAnsi="Times New Roman" w:cs="Times New Roman"/>
          <w:sz w:val="24"/>
          <w:szCs w:val="24"/>
        </w:rPr>
        <w:t>Р</w:t>
      </w:r>
      <w:r w:rsidR="00860B14">
        <w:rPr>
          <w:rFonts w:ascii="Times New Roman" w:hAnsi="Times New Roman" w:cs="Times New Roman"/>
          <w:sz w:val="24"/>
          <w:szCs w:val="24"/>
        </w:rPr>
        <w:t xml:space="preserve">есурсы </w:t>
      </w:r>
      <w:r w:rsidR="00A863A6">
        <w:rPr>
          <w:rFonts w:ascii="Times New Roman" w:hAnsi="Times New Roman" w:cs="Times New Roman"/>
          <w:sz w:val="24"/>
          <w:szCs w:val="24"/>
        </w:rPr>
        <w:t xml:space="preserve">и доходы </w:t>
      </w:r>
      <w:r w:rsidR="00860B14">
        <w:rPr>
          <w:rFonts w:ascii="Times New Roman" w:hAnsi="Times New Roman" w:cs="Times New Roman"/>
          <w:sz w:val="24"/>
          <w:szCs w:val="24"/>
        </w:rPr>
        <w:t xml:space="preserve">этого сектора </w:t>
      </w:r>
      <w:r w:rsidR="00A863A6">
        <w:rPr>
          <w:rFonts w:ascii="Times New Roman" w:hAnsi="Times New Roman" w:cs="Times New Roman"/>
          <w:sz w:val="24"/>
          <w:szCs w:val="24"/>
        </w:rPr>
        <w:t xml:space="preserve">были направлены </w:t>
      </w:r>
      <w:r w:rsidR="00860B14">
        <w:rPr>
          <w:rFonts w:ascii="Times New Roman" w:hAnsi="Times New Roman" w:cs="Times New Roman"/>
          <w:sz w:val="24"/>
          <w:szCs w:val="24"/>
        </w:rPr>
        <w:t xml:space="preserve">в руки государства (в бюджет и в контролируемые государством компании). </w:t>
      </w:r>
      <w:r w:rsidR="00A863A6">
        <w:rPr>
          <w:rFonts w:ascii="Times New Roman" w:hAnsi="Times New Roman" w:cs="Times New Roman"/>
          <w:sz w:val="24"/>
          <w:szCs w:val="24"/>
        </w:rPr>
        <w:t xml:space="preserve">Это, в свою очередь, позволило решить три задачи: </w:t>
      </w:r>
    </w:p>
    <w:p w14:paraId="4712F3F8" w14:textId="77777777" w:rsidR="00A863A6" w:rsidRDefault="00A863A6"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 восстановить дееспособность институтов исполнительной власти, в первую очередь силовых – уже к концу первого срока Путина федеральная власть не должна была больше ни с кем </w:t>
      </w:r>
      <w:r w:rsidRPr="008552EB">
        <w:rPr>
          <w:rFonts w:ascii="Times New Roman" w:hAnsi="Times New Roman" w:cs="Times New Roman"/>
          <w:b/>
          <w:sz w:val="24"/>
          <w:szCs w:val="24"/>
        </w:rPr>
        <w:t>договариваться</w:t>
      </w:r>
      <w:r>
        <w:rPr>
          <w:rFonts w:ascii="Times New Roman" w:hAnsi="Times New Roman" w:cs="Times New Roman"/>
          <w:sz w:val="24"/>
          <w:szCs w:val="24"/>
        </w:rPr>
        <w:t xml:space="preserve"> в части любых вопросов внутренней политики (это не значит, что власть прекратила советоваться – например, в 2006 году была создана Общественная палата, первоначально из достаточно независимых от власти людей);</w:t>
      </w:r>
    </w:p>
    <w:p w14:paraId="3D2642D7" w14:textId="3351F3F9" w:rsidR="000965C4" w:rsidRDefault="00A863A6"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поднять до минимально необходимых размеров финансирование социальных программ и заработной платы бюджетников;</w:t>
      </w:r>
    </w:p>
    <w:p w14:paraId="7FDF1276" w14:textId="77777777" w:rsidR="00EA2028" w:rsidRDefault="00A863A6"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сформировать в руках государства резервы на случай падения доходов и/или ресурсы для обеспечения модернизации экономики и других «национальных проектов».</w:t>
      </w:r>
    </w:p>
    <w:p w14:paraId="5632B856" w14:textId="6E102057" w:rsidR="00FB6180" w:rsidRPr="00A179F4" w:rsidRDefault="00117466"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Этап 199</w:t>
      </w:r>
      <w:r w:rsidR="004E4327">
        <w:rPr>
          <w:rFonts w:ascii="Times New Roman" w:hAnsi="Times New Roman" w:cs="Times New Roman"/>
          <w:sz w:val="24"/>
          <w:szCs w:val="24"/>
        </w:rPr>
        <w:t>9</w:t>
      </w:r>
      <w:r>
        <w:rPr>
          <w:rFonts w:ascii="Times New Roman" w:hAnsi="Times New Roman" w:cs="Times New Roman"/>
          <w:sz w:val="24"/>
          <w:szCs w:val="24"/>
        </w:rPr>
        <w:t>-2012 годов иногда называют этапом восстановительного роста, что неверно. Рост этого периода</w:t>
      </w:r>
      <w:r w:rsidR="00471FF2">
        <w:rPr>
          <w:rFonts w:ascii="Times New Roman" w:hAnsi="Times New Roman" w:cs="Times New Roman"/>
          <w:sz w:val="24"/>
          <w:szCs w:val="24"/>
        </w:rPr>
        <w:t xml:space="preserve"> только частично основан на использовании «старых» мощностей и старых институтов. Его основа – устойчивый и долгосрочный рост </w:t>
      </w:r>
      <w:r w:rsidR="00FD496A">
        <w:rPr>
          <w:rFonts w:ascii="Times New Roman" w:hAnsi="Times New Roman" w:cs="Times New Roman"/>
          <w:sz w:val="24"/>
          <w:szCs w:val="24"/>
        </w:rPr>
        <w:t xml:space="preserve">экспортных </w:t>
      </w:r>
      <w:r w:rsidR="00471FF2">
        <w:rPr>
          <w:rFonts w:ascii="Times New Roman" w:hAnsi="Times New Roman" w:cs="Times New Roman"/>
          <w:sz w:val="24"/>
          <w:szCs w:val="24"/>
        </w:rPr>
        <w:t>цен на углеводородное сырье</w:t>
      </w:r>
      <w:r w:rsidR="00FD496A">
        <w:rPr>
          <w:rFonts w:ascii="Times New Roman" w:hAnsi="Times New Roman" w:cs="Times New Roman"/>
          <w:sz w:val="24"/>
          <w:szCs w:val="24"/>
        </w:rPr>
        <w:t xml:space="preserve">, что принесло России </w:t>
      </w:r>
      <w:r w:rsidR="00FB6180">
        <w:rPr>
          <w:rFonts w:ascii="Times New Roman" w:hAnsi="Times New Roman" w:cs="Times New Roman"/>
          <w:sz w:val="24"/>
          <w:szCs w:val="24"/>
        </w:rPr>
        <w:t>за период с 2003 по 2012 гг. 2,2 трлн. долл. экспортных доходов</w:t>
      </w:r>
      <w:r w:rsidR="00FD496A">
        <w:rPr>
          <w:rFonts w:ascii="Times New Roman" w:hAnsi="Times New Roman" w:cs="Times New Roman"/>
          <w:sz w:val="24"/>
          <w:szCs w:val="24"/>
        </w:rPr>
        <w:t xml:space="preserve">. </w:t>
      </w:r>
      <w:r w:rsidR="00FB6180">
        <w:rPr>
          <w:rFonts w:ascii="Times New Roman" w:hAnsi="Times New Roman" w:cs="Times New Roman"/>
          <w:sz w:val="24"/>
          <w:szCs w:val="24"/>
        </w:rPr>
        <w:t>Быстрый р</w:t>
      </w:r>
      <w:r w:rsidR="00FD496A">
        <w:rPr>
          <w:rFonts w:ascii="Times New Roman" w:hAnsi="Times New Roman" w:cs="Times New Roman"/>
          <w:sz w:val="24"/>
          <w:szCs w:val="24"/>
        </w:rPr>
        <w:t xml:space="preserve">ост платежеспособного спроса населения на товары и услуги, рост </w:t>
      </w:r>
      <w:r w:rsidR="000C12AC">
        <w:rPr>
          <w:rFonts w:ascii="Times New Roman" w:hAnsi="Times New Roman" w:cs="Times New Roman"/>
          <w:sz w:val="24"/>
          <w:szCs w:val="24"/>
        </w:rPr>
        <w:t>бюджетных</w:t>
      </w:r>
      <w:r w:rsidR="00FD496A">
        <w:rPr>
          <w:rFonts w:ascii="Times New Roman" w:hAnsi="Times New Roman" w:cs="Times New Roman"/>
          <w:sz w:val="24"/>
          <w:szCs w:val="24"/>
        </w:rPr>
        <w:t xml:space="preserve"> секторов (образование, здравоохранение) и рост производства инвестиционных товаров и услуг </w:t>
      </w:r>
      <w:r w:rsidR="00FB6180">
        <w:rPr>
          <w:rFonts w:ascii="Times New Roman" w:hAnsi="Times New Roman" w:cs="Times New Roman"/>
          <w:sz w:val="24"/>
          <w:szCs w:val="24"/>
        </w:rPr>
        <w:t xml:space="preserve">в этот период </w:t>
      </w:r>
      <w:r w:rsidR="00FD496A">
        <w:rPr>
          <w:rFonts w:ascii="Times New Roman" w:hAnsi="Times New Roman" w:cs="Times New Roman"/>
          <w:sz w:val="24"/>
          <w:szCs w:val="24"/>
        </w:rPr>
        <w:t>име</w:t>
      </w:r>
      <w:r w:rsidR="00FB6180">
        <w:rPr>
          <w:rFonts w:ascii="Times New Roman" w:hAnsi="Times New Roman" w:cs="Times New Roman"/>
          <w:sz w:val="24"/>
          <w:szCs w:val="24"/>
        </w:rPr>
        <w:t>ли</w:t>
      </w:r>
      <w:r w:rsidR="00FD496A">
        <w:rPr>
          <w:rFonts w:ascii="Times New Roman" w:hAnsi="Times New Roman" w:cs="Times New Roman"/>
          <w:sz w:val="24"/>
          <w:szCs w:val="24"/>
        </w:rPr>
        <w:t xml:space="preserve"> вторичный характер – то есть </w:t>
      </w:r>
      <w:r w:rsidR="00FB6180">
        <w:rPr>
          <w:rFonts w:ascii="Times New Roman" w:hAnsi="Times New Roman" w:cs="Times New Roman"/>
          <w:sz w:val="24"/>
          <w:szCs w:val="24"/>
        </w:rPr>
        <w:t xml:space="preserve">были </w:t>
      </w:r>
      <w:r w:rsidR="00FD496A">
        <w:rPr>
          <w:rFonts w:ascii="Times New Roman" w:hAnsi="Times New Roman" w:cs="Times New Roman"/>
          <w:sz w:val="24"/>
          <w:szCs w:val="24"/>
        </w:rPr>
        <w:t xml:space="preserve">порождены «впрыском» в экономику доходов от </w:t>
      </w:r>
      <w:r w:rsidR="00AF3E4A">
        <w:rPr>
          <w:rFonts w:ascii="Times New Roman" w:hAnsi="Times New Roman" w:cs="Times New Roman"/>
          <w:sz w:val="24"/>
          <w:szCs w:val="24"/>
        </w:rPr>
        <w:t xml:space="preserve">экспорта. </w:t>
      </w:r>
      <w:r w:rsidR="00FB6180">
        <w:rPr>
          <w:rFonts w:ascii="Times New Roman" w:hAnsi="Times New Roman" w:cs="Times New Roman"/>
          <w:sz w:val="24"/>
          <w:szCs w:val="24"/>
        </w:rPr>
        <w:t xml:space="preserve"> </w:t>
      </w:r>
      <w:r w:rsidR="00FB6180" w:rsidRPr="00A179F4">
        <w:rPr>
          <w:rFonts w:ascii="Times New Roman" w:hAnsi="Times New Roman" w:cs="Times New Roman"/>
          <w:sz w:val="24"/>
          <w:szCs w:val="24"/>
        </w:rPr>
        <w:t xml:space="preserve">Опираясь на растущие нефтяные цены, российский бюджет стал очень устойчивым, что обеспечило повышение </w:t>
      </w:r>
      <w:proofErr w:type="spellStart"/>
      <w:r w:rsidR="00FB6180" w:rsidRPr="00A179F4">
        <w:rPr>
          <w:rFonts w:ascii="Times New Roman" w:hAnsi="Times New Roman" w:cs="Times New Roman"/>
          <w:sz w:val="24"/>
          <w:szCs w:val="24"/>
        </w:rPr>
        <w:t>странового</w:t>
      </w:r>
      <w:proofErr w:type="spellEnd"/>
      <w:r w:rsidR="00FB6180" w:rsidRPr="00A179F4">
        <w:rPr>
          <w:rFonts w:ascii="Times New Roman" w:hAnsi="Times New Roman" w:cs="Times New Roman"/>
          <w:sz w:val="24"/>
          <w:szCs w:val="24"/>
        </w:rPr>
        <w:t xml:space="preserve"> рейтинга и открыло для российских предприятий и банков международные рынки капитала. </w:t>
      </w:r>
    </w:p>
    <w:p w14:paraId="5110F61F" w14:textId="77777777" w:rsidR="00815B91" w:rsidRDefault="00815B91" w:rsidP="009310E6">
      <w:pPr>
        <w:ind w:firstLine="709"/>
        <w:rPr>
          <w:rFonts w:ascii="Times New Roman" w:hAnsi="Times New Roman" w:cs="Times New Roman"/>
          <w:b/>
          <w:sz w:val="24"/>
          <w:szCs w:val="24"/>
        </w:rPr>
      </w:pPr>
    </w:p>
    <w:p w14:paraId="5726236D" w14:textId="77777777" w:rsidR="00791C2A" w:rsidRDefault="00791C2A" w:rsidP="009310E6">
      <w:pPr>
        <w:ind w:firstLine="709"/>
        <w:rPr>
          <w:rFonts w:ascii="Times New Roman" w:hAnsi="Times New Roman" w:cs="Times New Roman"/>
          <w:b/>
          <w:sz w:val="24"/>
          <w:szCs w:val="24"/>
        </w:rPr>
      </w:pPr>
    </w:p>
    <w:p w14:paraId="12BEF648" w14:textId="77777777" w:rsidR="00815B91" w:rsidRDefault="00815B91" w:rsidP="009310E6">
      <w:pPr>
        <w:ind w:firstLine="709"/>
        <w:rPr>
          <w:rFonts w:ascii="Times New Roman" w:hAnsi="Times New Roman" w:cs="Times New Roman"/>
          <w:b/>
          <w:sz w:val="24"/>
          <w:szCs w:val="24"/>
        </w:rPr>
      </w:pPr>
    </w:p>
    <w:p w14:paraId="42FAD4AA" w14:textId="77777777" w:rsidR="00815B91" w:rsidRDefault="00815B91" w:rsidP="009310E6">
      <w:pPr>
        <w:ind w:firstLine="709"/>
        <w:rPr>
          <w:rFonts w:ascii="Times New Roman" w:hAnsi="Times New Roman" w:cs="Times New Roman"/>
          <w:b/>
          <w:sz w:val="24"/>
          <w:szCs w:val="24"/>
        </w:rPr>
      </w:pPr>
    </w:p>
    <w:p w14:paraId="72D6AE08" w14:textId="1D426EC6" w:rsidR="00FB6180" w:rsidRPr="00A179F4" w:rsidRDefault="00FB6180" w:rsidP="009310E6">
      <w:pPr>
        <w:ind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Рис. 2.2. </w:t>
      </w:r>
      <w:r w:rsidRPr="00A179F4">
        <w:rPr>
          <w:rFonts w:ascii="Times New Roman" w:hAnsi="Times New Roman" w:cs="Times New Roman"/>
          <w:b/>
          <w:sz w:val="24"/>
          <w:szCs w:val="24"/>
        </w:rPr>
        <w:t xml:space="preserve">Приток ресурсов в Россию по каналам топливного экспорта и </w:t>
      </w:r>
      <w:r>
        <w:rPr>
          <w:rFonts w:ascii="Times New Roman" w:hAnsi="Times New Roman" w:cs="Times New Roman"/>
          <w:b/>
          <w:sz w:val="24"/>
          <w:szCs w:val="24"/>
        </w:rPr>
        <w:t>иностранных инвестиций</w:t>
      </w:r>
      <w:r w:rsidRPr="00A179F4">
        <w:rPr>
          <w:rFonts w:ascii="Times New Roman" w:hAnsi="Times New Roman" w:cs="Times New Roman"/>
          <w:b/>
          <w:sz w:val="24"/>
          <w:szCs w:val="24"/>
        </w:rPr>
        <w:t xml:space="preserve">, млрд. долл. </w:t>
      </w:r>
    </w:p>
    <w:p w14:paraId="30DF4D3D" w14:textId="77777777" w:rsidR="00FB6180" w:rsidRPr="00A179F4" w:rsidRDefault="00FB6180" w:rsidP="009310E6">
      <w:pPr>
        <w:ind w:firstLine="709"/>
        <w:jc w:val="both"/>
        <w:rPr>
          <w:rFonts w:ascii="Times New Roman" w:hAnsi="Times New Roman" w:cs="Times New Roman"/>
          <w:sz w:val="24"/>
          <w:szCs w:val="24"/>
        </w:rPr>
      </w:pPr>
      <w:r w:rsidRPr="008552EB">
        <w:rPr>
          <w:rFonts w:ascii="Times New Roman" w:hAnsi="Times New Roman" w:cs="Times New Roman"/>
          <w:noProof/>
          <w:sz w:val="24"/>
          <w:szCs w:val="24"/>
          <w:lang w:eastAsia="ru-RU"/>
        </w:rPr>
        <w:drawing>
          <wp:inline distT="0" distB="0" distL="0" distR="0" wp14:anchorId="5F6CC067" wp14:editId="11890852">
            <wp:extent cx="5269922" cy="339495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975" cy="3399496"/>
                    </a:xfrm>
                    <a:prstGeom prst="rect">
                      <a:avLst/>
                    </a:prstGeom>
                    <a:noFill/>
                  </pic:spPr>
                </pic:pic>
              </a:graphicData>
            </a:graphic>
          </wp:inline>
        </w:drawing>
      </w:r>
    </w:p>
    <w:p w14:paraId="01A2D908" w14:textId="77777777" w:rsidR="00FB6180" w:rsidRPr="00C574A3" w:rsidRDefault="00FB6180" w:rsidP="009310E6">
      <w:pPr>
        <w:ind w:firstLine="709"/>
        <w:jc w:val="both"/>
        <w:rPr>
          <w:rFonts w:ascii="Times New Roman" w:hAnsi="Times New Roman" w:cs="Times New Roman"/>
          <w:i/>
          <w:iCs/>
          <w:sz w:val="24"/>
          <w:szCs w:val="24"/>
        </w:rPr>
      </w:pPr>
      <w:r w:rsidRPr="00C574A3">
        <w:rPr>
          <w:rFonts w:ascii="Times New Roman" w:hAnsi="Times New Roman" w:cs="Times New Roman"/>
          <w:i/>
          <w:iCs/>
          <w:sz w:val="24"/>
          <w:szCs w:val="24"/>
        </w:rPr>
        <w:t>Источник: Банк России</w:t>
      </w:r>
    </w:p>
    <w:p w14:paraId="05429473" w14:textId="6A09635B" w:rsidR="00B771B8" w:rsidRDefault="00B771B8"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Был ли реализовавшийся в реальности сценарий развития экономики России оптимальным? Дискуссии на эту тему обычно не выходят за рамки рассуждений о политической системе. Разумеется, экономические сценарии предполагают сложный, комплексный анализ, и при всем этом их достоверность будет весьма условной. Тем не менее</w:t>
      </w:r>
      <w:r w:rsidR="00815B91">
        <w:rPr>
          <w:rFonts w:ascii="Times New Roman" w:hAnsi="Times New Roman" w:cs="Times New Roman"/>
          <w:sz w:val="24"/>
          <w:szCs w:val="24"/>
        </w:rPr>
        <w:t>,</w:t>
      </w:r>
      <w:r>
        <w:rPr>
          <w:rFonts w:ascii="Times New Roman" w:hAnsi="Times New Roman" w:cs="Times New Roman"/>
          <w:sz w:val="24"/>
          <w:szCs w:val="24"/>
        </w:rPr>
        <w:t xml:space="preserve"> мы попытаемся сопоставить д</w:t>
      </w:r>
      <w:r w:rsidR="00AF3E4A">
        <w:rPr>
          <w:rFonts w:ascii="Times New Roman" w:hAnsi="Times New Roman" w:cs="Times New Roman"/>
          <w:sz w:val="24"/>
          <w:szCs w:val="24"/>
        </w:rPr>
        <w:t>ва сценария (</w:t>
      </w:r>
      <w:r>
        <w:rPr>
          <w:rFonts w:ascii="Times New Roman" w:hAnsi="Times New Roman" w:cs="Times New Roman"/>
          <w:sz w:val="24"/>
          <w:szCs w:val="24"/>
        </w:rPr>
        <w:t xml:space="preserve">гипотетический </w:t>
      </w:r>
      <w:r w:rsidR="00815B91">
        <w:rPr>
          <w:rFonts w:ascii="Times New Roman" w:hAnsi="Times New Roman" w:cs="Times New Roman"/>
          <w:sz w:val="24"/>
          <w:szCs w:val="24"/>
        </w:rPr>
        <w:t>«</w:t>
      </w:r>
      <w:r>
        <w:rPr>
          <w:rFonts w:ascii="Times New Roman" w:hAnsi="Times New Roman" w:cs="Times New Roman"/>
          <w:sz w:val="24"/>
          <w:szCs w:val="24"/>
        </w:rPr>
        <w:t>о</w:t>
      </w:r>
      <w:r w:rsidR="00AF3E4A">
        <w:rPr>
          <w:rFonts w:ascii="Times New Roman" w:hAnsi="Times New Roman" w:cs="Times New Roman"/>
          <w:sz w:val="24"/>
          <w:szCs w:val="24"/>
        </w:rPr>
        <w:t>лигархический</w:t>
      </w:r>
      <w:r w:rsidR="00815B91">
        <w:rPr>
          <w:rFonts w:ascii="Times New Roman" w:hAnsi="Times New Roman" w:cs="Times New Roman"/>
          <w:sz w:val="24"/>
          <w:szCs w:val="24"/>
        </w:rPr>
        <w:t>»</w:t>
      </w:r>
      <w:r>
        <w:rPr>
          <w:rFonts w:ascii="Times New Roman" w:hAnsi="Times New Roman" w:cs="Times New Roman"/>
          <w:sz w:val="24"/>
          <w:szCs w:val="24"/>
        </w:rPr>
        <w:t xml:space="preserve"> и реализовавшийся </w:t>
      </w:r>
      <w:r w:rsidR="00815B91">
        <w:rPr>
          <w:rFonts w:ascii="Times New Roman" w:hAnsi="Times New Roman" w:cs="Times New Roman"/>
          <w:sz w:val="24"/>
          <w:szCs w:val="24"/>
        </w:rPr>
        <w:t>«п</w:t>
      </w:r>
      <w:r>
        <w:rPr>
          <w:rFonts w:ascii="Times New Roman" w:hAnsi="Times New Roman" w:cs="Times New Roman"/>
          <w:sz w:val="24"/>
          <w:szCs w:val="24"/>
        </w:rPr>
        <w:t>утинский</w:t>
      </w:r>
      <w:r w:rsidR="00815B91">
        <w:rPr>
          <w:rFonts w:ascii="Times New Roman" w:hAnsi="Times New Roman" w:cs="Times New Roman"/>
          <w:sz w:val="24"/>
          <w:szCs w:val="24"/>
        </w:rPr>
        <w:t>»</w:t>
      </w:r>
      <w:r w:rsidR="00AF3E4A">
        <w:rPr>
          <w:rFonts w:ascii="Times New Roman" w:hAnsi="Times New Roman" w:cs="Times New Roman"/>
          <w:sz w:val="24"/>
          <w:szCs w:val="24"/>
        </w:rPr>
        <w:t>)</w:t>
      </w:r>
      <w:r>
        <w:rPr>
          <w:rFonts w:ascii="Times New Roman" w:hAnsi="Times New Roman" w:cs="Times New Roman"/>
          <w:sz w:val="24"/>
          <w:szCs w:val="24"/>
        </w:rPr>
        <w:t xml:space="preserve"> на уровне качественных факторов.</w:t>
      </w:r>
    </w:p>
    <w:p w14:paraId="6645A8D6" w14:textId="55118C5E" w:rsidR="00AF3E4A" w:rsidRDefault="00815B91"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B771B8">
        <w:rPr>
          <w:rFonts w:ascii="Times New Roman" w:hAnsi="Times New Roman" w:cs="Times New Roman"/>
          <w:sz w:val="24"/>
          <w:szCs w:val="24"/>
        </w:rPr>
        <w:t>Олигархический</w:t>
      </w:r>
      <w:r>
        <w:rPr>
          <w:rFonts w:ascii="Times New Roman" w:hAnsi="Times New Roman" w:cs="Times New Roman"/>
          <w:sz w:val="24"/>
          <w:szCs w:val="24"/>
        </w:rPr>
        <w:t>»</w:t>
      </w:r>
      <w:r w:rsidR="00B771B8">
        <w:rPr>
          <w:rFonts w:ascii="Times New Roman" w:hAnsi="Times New Roman" w:cs="Times New Roman"/>
          <w:sz w:val="24"/>
          <w:szCs w:val="24"/>
        </w:rPr>
        <w:t xml:space="preserve"> сценарий</w:t>
      </w:r>
      <w:r w:rsidR="00AF3E4A">
        <w:rPr>
          <w:rFonts w:ascii="Times New Roman" w:hAnsi="Times New Roman" w:cs="Times New Roman"/>
          <w:sz w:val="24"/>
          <w:szCs w:val="24"/>
        </w:rPr>
        <w:t xml:space="preserve"> – нефтегазовые доходы в значительной части оказались бы </w:t>
      </w:r>
      <w:r w:rsidR="00B771B8">
        <w:rPr>
          <w:rFonts w:ascii="Times New Roman" w:hAnsi="Times New Roman" w:cs="Times New Roman"/>
          <w:sz w:val="24"/>
          <w:szCs w:val="24"/>
        </w:rPr>
        <w:t xml:space="preserve">перераспределены в пользу частных компаний и в большей доле </w:t>
      </w:r>
      <w:r w:rsidR="00AF3E4A">
        <w:rPr>
          <w:rFonts w:ascii="Times New Roman" w:hAnsi="Times New Roman" w:cs="Times New Roman"/>
          <w:sz w:val="24"/>
          <w:szCs w:val="24"/>
        </w:rPr>
        <w:t xml:space="preserve">выведены за пределы России; заработная плата и денежные доходы населения оказались бы ниже уровня реальности – от 20 до 30%; режим конкуренции в экономике был бы более эффективным. </w:t>
      </w:r>
      <w:r w:rsidR="00B771B8">
        <w:rPr>
          <w:rFonts w:ascii="Times New Roman" w:hAnsi="Times New Roman" w:cs="Times New Roman"/>
          <w:sz w:val="24"/>
          <w:szCs w:val="24"/>
        </w:rPr>
        <w:t xml:space="preserve">Можно было бы ожидать более высокого культурно-технического уровня производства, более высокого качества управления. Ценовая – а также технологическая конкурентоспособность российских промышленности и сельского хозяйства оказалась бы выше </w:t>
      </w:r>
      <w:r>
        <w:rPr>
          <w:rFonts w:ascii="Times New Roman" w:hAnsi="Times New Roman" w:cs="Times New Roman"/>
          <w:sz w:val="24"/>
          <w:szCs w:val="24"/>
        </w:rPr>
        <w:t>-</w:t>
      </w:r>
      <w:r w:rsidR="00B771B8">
        <w:rPr>
          <w:rFonts w:ascii="Times New Roman" w:hAnsi="Times New Roman" w:cs="Times New Roman"/>
          <w:sz w:val="24"/>
          <w:szCs w:val="24"/>
        </w:rPr>
        <w:t xml:space="preserve"> в том случае, если бы за рубежом существовал бы платежеспособный спрос на российскую продукцию. </w:t>
      </w:r>
      <w:r w:rsidR="00692D67">
        <w:rPr>
          <w:rFonts w:ascii="Times New Roman" w:hAnsi="Times New Roman" w:cs="Times New Roman"/>
          <w:sz w:val="24"/>
          <w:szCs w:val="24"/>
        </w:rPr>
        <w:t xml:space="preserve">Ведь внутренний спрос, скорее всего, оказался бы ниже по сравнению с «путинским» сценарием. </w:t>
      </w:r>
      <w:r w:rsidR="00AF3E4A">
        <w:rPr>
          <w:rFonts w:ascii="Times New Roman" w:hAnsi="Times New Roman" w:cs="Times New Roman"/>
          <w:sz w:val="24"/>
          <w:szCs w:val="24"/>
        </w:rPr>
        <w:t xml:space="preserve">При этом </w:t>
      </w:r>
      <w:proofErr w:type="spellStart"/>
      <w:r w:rsidR="00AF3E4A">
        <w:rPr>
          <w:rFonts w:ascii="Times New Roman" w:hAnsi="Times New Roman" w:cs="Times New Roman"/>
          <w:sz w:val="24"/>
          <w:szCs w:val="24"/>
        </w:rPr>
        <w:t>встроенность</w:t>
      </w:r>
      <w:proofErr w:type="spellEnd"/>
      <w:r w:rsidR="00AF3E4A">
        <w:rPr>
          <w:rFonts w:ascii="Times New Roman" w:hAnsi="Times New Roman" w:cs="Times New Roman"/>
          <w:sz w:val="24"/>
          <w:szCs w:val="24"/>
        </w:rPr>
        <w:t xml:space="preserve"> российской экономики в мировую (измеряемая как доля международных торговых и финансовых операций в ВВП) скорее всего, не была бы выше, чем в реальном сценарии – за счет более низкого </w:t>
      </w:r>
      <w:r w:rsidR="00AF3E4A">
        <w:rPr>
          <w:rFonts w:ascii="Times New Roman" w:hAnsi="Times New Roman" w:cs="Times New Roman"/>
          <w:sz w:val="24"/>
          <w:szCs w:val="24"/>
        </w:rPr>
        <w:lastRenderedPageBreak/>
        <w:t xml:space="preserve">платежеспособного спроса населения </w:t>
      </w:r>
      <w:r w:rsidR="00B771B8">
        <w:rPr>
          <w:rFonts w:ascii="Times New Roman" w:hAnsi="Times New Roman" w:cs="Times New Roman"/>
          <w:sz w:val="24"/>
          <w:szCs w:val="24"/>
        </w:rPr>
        <w:t>замещение импортом произошло бы в меньшем объеме.</w:t>
      </w:r>
    </w:p>
    <w:p w14:paraId="196B0844" w14:textId="77777777" w:rsidR="00264B62" w:rsidRDefault="00EC7382"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Реализовавшийся в реальности сценарий значительно проигрывает по уровню конкуренции в экономике</w:t>
      </w:r>
      <w:r w:rsidR="00264B62">
        <w:rPr>
          <w:rFonts w:ascii="Times New Roman" w:hAnsi="Times New Roman" w:cs="Times New Roman"/>
          <w:sz w:val="24"/>
          <w:szCs w:val="24"/>
        </w:rPr>
        <w:t xml:space="preserve">, по доле эффективных предприятий. Однако в остальном  </w:t>
      </w:r>
      <w:r w:rsidR="00152CC5">
        <w:rPr>
          <w:rFonts w:ascii="Times New Roman" w:hAnsi="Times New Roman" w:cs="Times New Roman"/>
          <w:sz w:val="24"/>
          <w:szCs w:val="24"/>
        </w:rPr>
        <w:t>этот сценарий оказался привлекательнее.</w:t>
      </w:r>
    </w:p>
    <w:p w14:paraId="3A28C91C" w14:textId="77777777" w:rsidR="00264B62" w:rsidRDefault="00EA2028"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политики первого и второго срока Путина и президентского срока Медведева были достигнуты выдающиеся результаты: экономика значительно превысила «советские» показатели по производительности труда, доходам на душу населения и качеству жизни. </w:t>
      </w:r>
      <w:r w:rsidR="00117466">
        <w:rPr>
          <w:rFonts w:ascii="Times New Roman" w:hAnsi="Times New Roman" w:cs="Times New Roman"/>
          <w:sz w:val="24"/>
          <w:szCs w:val="24"/>
        </w:rPr>
        <w:t>Россия сократила разрыв с наиболее развитыми странами в области производственных и социальных технологий. Сформировался большой по размерам средний класс, который мог стать основой нового этапа экономического и социального роста.</w:t>
      </w:r>
      <w:r>
        <w:rPr>
          <w:rFonts w:ascii="Times New Roman" w:hAnsi="Times New Roman" w:cs="Times New Roman"/>
          <w:sz w:val="24"/>
          <w:szCs w:val="24"/>
        </w:rPr>
        <w:t xml:space="preserve"> </w:t>
      </w:r>
      <w:r w:rsidR="00264B62">
        <w:rPr>
          <w:rFonts w:ascii="Times New Roman" w:hAnsi="Times New Roman" w:cs="Times New Roman"/>
          <w:sz w:val="24"/>
          <w:szCs w:val="24"/>
        </w:rPr>
        <w:t xml:space="preserve">В предыдущем сценарии население оказалось бы значительно беднее – средний класс составил бы не больше 25%. </w:t>
      </w:r>
    </w:p>
    <w:p w14:paraId="49B7F7AF" w14:textId="77777777" w:rsidR="008E6557" w:rsidRDefault="008E6557"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Однако, </w:t>
      </w:r>
      <w:r w:rsidR="00CA74AF">
        <w:rPr>
          <w:rFonts w:ascii="Times New Roman" w:hAnsi="Times New Roman" w:cs="Times New Roman"/>
          <w:sz w:val="24"/>
          <w:szCs w:val="24"/>
        </w:rPr>
        <w:t xml:space="preserve">другие </w:t>
      </w:r>
      <w:r>
        <w:rPr>
          <w:rFonts w:ascii="Times New Roman" w:hAnsi="Times New Roman" w:cs="Times New Roman"/>
          <w:sz w:val="24"/>
          <w:szCs w:val="24"/>
        </w:rPr>
        <w:t>системные пороки социально-экономической системы 90-х годов в 2000-х оказались законсервированы</w:t>
      </w:r>
      <w:r w:rsidR="00931EBD">
        <w:rPr>
          <w:rFonts w:ascii="Times New Roman" w:hAnsi="Times New Roman" w:cs="Times New Roman"/>
          <w:sz w:val="24"/>
          <w:szCs w:val="24"/>
        </w:rPr>
        <w:t xml:space="preserve"> и больше того – они оформились в виде устоявшихся институтов.</w:t>
      </w:r>
      <w:r w:rsidR="00210207">
        <w:rPr>
          <w:rFonts w:ascii="Times New Roman" w:hAnsi="Times New Roman" w:cs="Times New Roman"/>
          <w:sz w:val="24"/>
          <w:szCs w:val="24"/>
        </w:rPr>
        <w:t xml:space="preserve"> </w:t>
      </w:r>
    </w:p>
    <w:p w14:paraId="28A1824B" w14:textId="77777777" w:rsidR="00FB6180" w:rsidRDefault="008E6557"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Во-первых, сохранился </w:t>
      </w:r>
      <w:r w:rsidR="00210207">
        <w:rPr>
          <w:rFonts w:ascii="Times New Roman" w:hAnsi="Times New Roman" w:cs="Times New Roman"/>
          <w:sz w:val="24"/>
          <w:szCs w:val="24"/>
        </w:rPr>
        <w:t xml:space="preserve">и обрел «второе дыхание» </w:t>
      </w:r>
      <w:r>
        <w:rPr>
          <w:rFonts w:ascii="Times New Roman" w:hAnsi="Times New Roman" w:cs="Times New Roman"/>
          <w:sz w:val="24"/>
          <w:szCs w:val="24"/>
        </w:rPr>
        <w:t xml:space="preserve">унаследованный еще от СССР </w:t>
      </w:r>
      <w:r w:rsidRPr="008552EB">
        <w:rPr>
          <w:rFonts w:ascii="Times New Roman" w:hAnsi="Times New Roman" w:cs="Times New Roman"/>
          <w:b/>
          <w:sz w:val="24"/>
          <w:szCs w:val="24"/>
        </w:rPr>
        <w:t>государственный патернализм в организации социальной сферы</w:t>
      </w:r>
      <w:r>
        <w:rPr>
          <w:rFonts w:ascii="Times New Roman" w:hAnsi="Times New Roman" w:cs="Times New Roman"/>
          <w:sz w:val="24"/>
          <w:szCs w:val="24"/>
        </w:rPr>
        <w:t xml:space="preserve">. </w:t>
      </w:r>
      <w:r w:rsidR="00931EBD">
        <w:rPr>
          <w:rFonts w:ascii="Times New Roman" w:hAnsi="Times New Roman" w:cs="Times New Roman"/>
          <w:sz w:val="24"/>
          <w:szCs w:val="24"/>
        </w:rPr>
        <w:t>Пенсионное обеспечение, социальное обслуживание, здравоохранение и образование организованы на принципе солидарного финансирования и фактически заявлены как бесплатно предоставляемые гражданам социальные блага. Механизм</w:t>
      </w:r>
      <w:r w:rsidR="00210207">
        <w:rPr>
          <w:rFonts w:ascii="Times New Roman" w:hAnsi="Times New Roman" w:cs="Times New Roman"/>
          <w:sz w:val="24"/>
          <w:szCs w:val="24"/>
        </w:rPr>
        <w:t xml:space="preserve">ы персональной ответственности и персонального финансирования если и существуют формально, то организованы таким образом, что будущий получатель социального блага не принимает никаких решений о своем вкладе. Все отчисления в социальные фонды привязаны к работникам, но организованы на стороне работодателя. </w:t>
      </w:r>
      <w:r w:rsidR="00931EBD">
        <w:rPr>
          <w:rFonts w:ascii="Times New Roman" w:hAnsi="Times New Roman" w:cs="Times New Roman"/>
          <w:sz w:val="24"/>
          <w:szCs w:val="24"/>
        </w:rPr>
        <w:t xml:space="preserve"> </w:t>
      </w:r>
      <w:r w:rsidR="00210207">
        <w:rPr>
          <w:rFonts w:ascii="Times New Roman" w:hAnsi="Times New Roman" w:cs="Times New Roman"/>
          <w:sz w:val="24"/>
          <w:szCs w:val="24"/>
        </w:rPr>
        <w:t xml:space="preserve">Таким образом, они воспринимаются получателем как </w:t>
      </w:r>
      <w:r w:rsidR="00416E85">
        <w:rPr>
          <w:rFonts w:ascii="Times New Roman" w:hAnsi="Times New Roman" w:cs="Times New Roman"/>
          <w:sz w:val="24"/>
          <w:szCs w:val="24"/>
        </w:rPr>
        <w:t>бесплатно</w:t>
      </w:r>
      <w:r w:rsidR="00210207">
        <w:rPr>
          <w:rFonts w:ascii="Times New Roman" w:hAnsi="Times New Roman" w:cs="Times New Roman"/>
          <w:sz w:val="24"/>
          <w:szCs w:val="24"/>
        </w:rPr>
        <w:t xml:space="preserve"> предоставляемые ему государством.</w:t>
      </w:r>
      <w:r w:rsidR="00416E85">
        <w:rPr>
          <w:rFonts w:ascii="Times New Roman" w:hAnsi="Times New Roman" w:cs="Times New Roman"/>
          <w:sz w:val="24"/>
          <w:szCs w:val="24"/>
        </w:rPr>
        <w:t xml:space="preserve"> Население ожидает от власти гарантированного обеспечения социальными благами и роста их качества, на основе таких ожиданий формулируются электоральные требования социальных групп. Любые попытки </w:t>
      </w:r>
      <w:r w:rsidR="00452486">
        <w:rPr>
          <w:rFonts w:ascii="Times New Roman" w:hAnsi="Times New Roman" w:cs="Times New Roman"/>
          <w:sz w:val="24"/>
          <w:szCs w:val="24"/>
        </w:rPr>
        <w:t xml:space="preserve">реформ, </w:t>
      </w:r>
      <w:r w:rsidR="00E8363D">
        <w:rPr>
          <w:rFonts w:ascii="Times New Roman" w:hAnsi="Times New Roman" w:cs="Times New Roman"/>
          <w:sz w:val="24"/>
          <w:szCs w:val="24"/>
        </w:rPr>
        <w:t>предполаг</w:t>
      </w:r>
      <w:r w:rsidR="00452486">
        <w:rPr>
          <w:rFonts w:ascii="Times New Roman" w:hAnsi="Times New Roman" w:cs="Times New Roman"/>
          <w:sz w:val="24"/>
          <w:szCs w:val="24"/>
        </w:rPr>
        <w:t xml:space="preserve">ающие рост ответственности граждан, торпедируются через политические механизмы. </w:t>
      </w:r>
      <w:r w:rsidR="00416E85">
        <w:rPr>
          <w:rFonts w:ascii="Times New Roman" w:hAnsi="Times New Roman" w:cs="Times New Roman"/>
          <w:sz w:val="24"/>
          <w:szCs w:val="24"/>
        </w:rPr>
        <w:t xml:space="preserve">К формально гарантированным социальным благам де-факто добавилось </w:t>
      </w:r>
      <w:proofErr w:type="spellStart"/>
      <w:r w:rsidR="00416E85">
        <w:rPr>
          <w:rFonts w:ascii="Times New Roman" w:hAnsi="Times New Roman" w:cs="Times New Roman"/>
          <w:sz w:val="24"/>
          <w:szCs w:val="24"/>
        </w:rPr>
        <w:t>софинансирование</w:t>
      </w:r>
      <w:proofErr w:type="spellEnd"/>
      <w:r w:rsidR="00416E85">
        <w:rPr>
          <w:rFonts w:ascii="Times New Roman" w:hAnsi="Times New Roman" w:cs="Times New Roman"/>
          <w:sz w:val="24"/>
          <w:szCs w:val="24"/>
        </w:rPr>
        <w:t xml:space="preserve"> государством и местным самоуправлением содержания жилого фонда и его ремонт</w:t>
      </w:r>
      <w:r w:rsidR="00452486">
        <w:rPr>
          <w:rStyle w:val="af"/>
          <w:rFonts w:ascii="Times New Roman" w:hAnsi="Times New Roman" w:cs="Times New Roman"/>
          <w:sz w:val="24"/>
          <w:szCs w:val="24"/>
        </w:rPr>
        <w:footnoteReference w:id="3"/>
      </w:r>
      <w:r w:rsidR="00416E85">
        <w:rPr>
          <w:rFonts w:ascii="Times New Roman" w:hAnsi="Times New Roman" w:cs="Times New Roman"/>
          <w:sz w:val="24"/>
          <w:szCs w:val="24"/>
        </w:rPr>
        <w:t xml:space="preserve">. Восстановление минимально необходимого финансового обеспечения </w:t>
      </w:r>
      <w:r w:rsidR="00416E85">
        <w:rPr>
          <w:rFonts w:ascii="Times New Roman" w:hAnsi="Times New Roman" w:cs="Times New Roman"/>
          <w:sz w:val="24"/>
          <w:szCs w:val="24"/>
        </w:rPr>
        <w:lastRenderedPageBreak/>
        <w:t xml:space="preserve">социальных благ по мере </w:t>
      </w:r>
      <w:r w:rsidR="00E8363D">
        <w:rPr>
          <w:rFonts w:ascii="Times New Roman" w:hAnsi="Times New Roman" w:cs="Times New Roman"/>
          <w:sz w:val="24"/>
          <w:szCs w:val="24"/>
        </w:rPr>
        <w:t>роста «расширенного бюджета» государства</w:t>
      </w:r>
      <w:r w:rsidR="00E8363D">
        <w:rPr>
          <w:rStyle w:val="af"/>
          <w:rFonts w:ascii="Times New Roman" w:hAnsi="Times New Roman" w:cs="Times New Roman"/>
          <w:sz w:val="24"/>
          <w:szCs w:val="24"/>
        </w:rPr>
        <w:footnoteReference w:id="4"/>
      </w:r>
      <w:r w:rsidR="00E8363D" w:rsidRPr="008552EB">
        <w:rPr>
          <w:rFonts w:ascii="Times New Roman" w:hAnsi="Times New Roman" w:cs="Times New Roman"/>
          <w:sz w:val="24"/>
          <w:szCs w:val="24"/>
        </w:rPr>
        <w:t xml:space="preserve"> повысило заинтересованность в получении таких благ и у представителей среднего класса. </w:t>
      </w:r>
    </w:p>
    <w:p w14:paraId="6D29FF4F" w14:textId="77777777" w:rsidR="00791C2A" w:rsidRDefault="00791C2A" w:rsidP="009310E6">
      <w:pPr>
        <w:pStyle w:val="af0"/>
        <w:spacing w:line="360" w:lineRule="auto"/>
        <w:ind w:left="0" w:firstLine="709"/>
        <w:jc w:val="both"/>
        <w:rPr>
          <w:rFonts w:ascii="Times New Roman" w:hAnsi="Times New Roman" w:cs="Times New Roman"/>
          <w:sz w:val="24"/>
          <w:szCs w:val="24"/>
        </w:rPr>
      </w:pPr>
    </w:p>
    <w:p w14:paraId="247173CB" w14:textId="359BD057" w:rsidR="00FB6180" w:rsidRPr="008552EB" w:rsidRDefault="0028309F" w:rsidP="009310E6">
      <w:pPr>
        <w:pStyle w:val="af0"/>
        <w:spacing w:line="360" w:lineRule="auto"/>
        <w:ind w:left="0" w:firstLine="709"/>
        <w:jc w:val="both"/>
        <w:rPr>
          <w:rFonts w:ascii="Times New Roman" w:hAnsi="Times New Roman" w:cs="Times New Roman"/>
          <w:b/>
          <w:sz w:val="24"/>
          <w:szCs w:val="24"/>
        </w:rPr>
      </w:pPr>
      <w:r w:rsidRPr="008552EB">
        <w:rPr>
          <w:rFonts w:ascii="Times New Roman" w:hAnsi="Times New Roman" w:cs="Times New Roman"/>
          <w:b/>
          <w:sz w:val="24"/>
          <w:szCs w:val="24"/>
        </w:rPr>
        <w:t>Рис 2.3. Социальные расходы бюджетной системы, %</w:t>
      </w:r>
    </w:p>
    <w:p w14:paraId="2F73EBEB" w14:textId="7B434785" w:rsidR="00FB6180" w:rsidRDefault="0028309F" w:rsidP="009310E6">
      <w:pPr>
        <w:pStyle w:val="af0"/>
        <w:spacing w:line="360" w:lineRule="auto"/>
        <w:ind w:left="0" w:firstLine="709"/>
        <w:jc w:val="both"/>
        <w:rPr>
          <w:rFonts w:ascii="Times New Roman" w:hAnsi="Times New Roman" w:cs="Times New Roman"/>
          <w:sz w:val="24"/>
          <w:szCs w:val="24"/>
        </w:rPr>
      </w:pPr>
      <w:r w:rsidRPr="008552EB">
        <w:rPr>
          <w:rFonts w:ascii="Times New Roman" w:hAnsi="Times New Roman" w:cs="Times New Roman"/>
          <w:noProof/>
          <w:sz w:val="24"/>
          <w:szCs w:val="24"/>
          <w:lang w:eastAsia="ru-RU"/>
        </w:rPr>
        <w:drawing>
          <wp:inline distT="0" distB="0" distL="0" distR="0" wp14:anchorId="1869EDD7" wp14:editId="325AC21A">
            <wp:extent cx="4928461" cy="2911689"/>
            <wp:effectExtent l="0" t="0" r="5715"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8038" cy="2911439"/>
                    </a:xfrm>
                    <a:prstGeom prst="rect">
                      <a:avLst/>
                    </a:prstGeom>
                    <a:noFill/>
                  </pic:spPr>
                </pic:pic>
              </a:graphicData>
            </a:graphic>
          </wp:inline>
        </w:drawing>
      </w:r>
    </w:p>
    <w:p w14:paraId="31A5DD7A" w14:textId="7BB598A5" w:rsidR="00416E85" w:rsidRPr="008552EB" w:rsidRDefault="0028309F" w:rsidP="009310E6">
      <w:pPr>
        <w:pStyle w:val="af0"/>
        <w:spacing w:line="36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Источник: Минфин России</w:t>
      </w:r>
    </w:p>
    <w:p w14:paraId="432E502F" w14:textId="77777777" w:rsidR="008E6557" w:rsidRDefault="00E8363D"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Расширенное воспроизводство института «социального патернализма государства»</w:t>
      </w:r>
      <w:r w:rsidR="005F3B50">
        <w:rPr>
          <w:rFonts w:ascii="Times New Roman" w:hAnsi="Times New Roman" w:cs="Times New Roman"/>
          <w:sz w:val="24"/>
          <w:szCs w:val="24"/>
        </w:rPr>
        <w:t xml:space="preserve"> имеет негативные социальные и экономические последствия.</w:t>
      </w:r>
      <w:r w:rsidR="008E6557">
        <w:rPr>
          <w:rFonts w:ascii="Times New Roman" w:hAnsi="Times New Roman" w:cs="Times New Roman"/>
          <w:sz w:val="24"/>
          <w:szCs w:val="24"/>
        </w:rPr>
        <w:t xml:space="preserve"> </w:t>
      </w:r>
      <w:r w:rsidR="005F3B50">
        <w:rPr>
          <w:rFonts w:ascii="Times New Roman" w:hAnsi="Times New Roman" w:cs="Times New Roman"/>
          <w:sz w:val="24"/>
          <w:szCs w:val="24"/>
        </w:rPr>
        <w:t xml:space="preserve">Россия по-прежнему </w:t>
      </w:r>
      <w:r w:rsidR="005F3B50" w:rsidRPr="008552EB">
        <w:rPr>
          <w:rFonts w:ascii="Times New Roman" w:hAnsi="Times New Roman" w:cs="Times New Roman"/>
          <w:b/>
          <w:sz w:val="24"/>
          <w:szCs w:val="24"/>
        </w:rPr>
        <w:t>н</w:t>
      </w:r>
      <w:r w:rsidR="006E4AC5" w:rsidRPr="008552EB">
        <w:rPr>
          <w:rFonts w:ascii="Times New Roman" w:hAnsi="Times New Roman" w:cs="Times New Roman"/>
          <w:b/>
          <w:sz w:val="24"/>
          <w:szCs w:val="24"/>
        </w:rPr>
        <w:t>е имеет механизма мобилизации частных доходов</w:t>
      </w:r>
      <w:r w:rsidR="005F3B50" w:rsidRPr="008552EB">
        <w:rPr>
          <w:rFonts w:ascii="Times New Roman" w:hAnsi="Times New Roman" w:cs="Times New Roman"/>
          <w:b/>
          <w:sz w:val="24"/>
          <w:szCs w:val="24"/>
        </w:rPr>
        <w:t xml:space="preserve"> для финансирования социальных благ</w:t>
      </w:r>
      <w:r w:rsidR="006E4AC5" w:rsidRPr="008552EB">
        <w:rPr>
          <w:rFonts w:ascii="Times New Roman" w:hAnsi="Times New Roman" w:cs="Times New Roman"/>
          <w:b/>
          <w:sz w:val="24"/>
          <w:szCs w:val="24"/>
        </w:rPr>
        <w:t xml:space="preserve"> и тем более капитализации </w:t>
      </w:r>
      <w:r w:rsidR="005F3B50" w:rsidRPr="008552EB">
        <w:rPr>
          <w:rFonts w:ascii="Times New Roman" w:hAnsi="Times New Roman" w:cs="Times New Roman"/>
          <w:b/>
          <w:sz w:val="24"/>
          <w:szCs w:val="24"/>
        </w:rPr>
        <w:t>соответствующих накоплений домохозяйств</w:t>
      </w:r>
      <w:r w:rsidR="006E4AC5">
        <w:rPr>
          <w:rFonts w:ascii="Times New Roman" w:hAnsi="Times New Roman" w:cs="Times New Roman"/>
          <w:sz w:val="24"/>
          <w:szCs w:val="24"/>
        </w:rPr>
        <w:t xml:space="preserve">. </w:t>
      </w:r>
      <w:r w:rsidR="005F3B50">
        <w:rPr>
          <w:rFonts w:ascii="Times New Roman" w:hAnsi="Times New Roman" w:cs="Times New Roman"/>
          <w:sz w:val="24"/>
          <w:szCs w:val="24"/>
        </w:rPr>
        <w:t>Это в условиях наличия минимум 40% граждан, способных участвовать в таких механизмах.</w:t>
      </w:r>
    </w:p>
    <w:p w14:paraId="62C7041F" w14:textId="77777777" w:rsidR="00D62A25" w:rsidRDefault="008E6557"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Во-вторых, сохранился </w:t>
      </w:r>
      <w:r w:rsidRPr="008552EB">
        <w:rPr>
          <w:rFonts w:ascii="Times New Roman" w:hAnsi="Times New Roman" w:cs="Times New Roman"/>
          <w:b/>
          <w:sz w:val="24"/>
          <w:szCs w:val="24"/>
        </w:rPr>
        <w:t>оффшорный капитализм</w:t>
      </w:r>
      <w:r w:rsidR="00D62A25">
        <w:rPr>
          <w:rFonts w:ascii="Times New Roman" w:hAnsi="Times New Roman" w:cs="Times New Roman"/>
          <w:b/>
          <w:sz w:val="24"/>
          <w:szCs w:val="24"/>
        </w:rPr>
        <w:t xml:space="preserve">. </w:t>
      </w:r>
      <w:r w:rsidR="007F4E49" w:rsidRPr="008552EB">
        <w:rPr>
          <w:rFonts w:ascii="Times New Roman" w:hAnsi="Times New Roman" w:cs="Times New Roman"/>
          <w:sz w:val="24"/>
          <w:szCs w:val="24"/>
        </w:rPr>
        <w:t xml:space="preserve">Россия имеет значительные особенности в использовании </w:t>
      </w:r>
      <w:r w:rsidR="00155164" w:rsidRPr="008552EB">
        <w:rPr>
          <w:rFonts w:ascii="Times New Roman" w:hAnsi="Times New Roman" w:cs="Times New Roman"/>
          <w:sz w:val="24"/>
          <w:szCs w:val="24"/>
        </w:rPr>
        <w:t xml:space="preserve">оффшорных инструментов. </w:t>
      </w:r>
      <w:r w:rsidR="00155164" w:rsidRPr="000475F7">
        <w:rPr>
          <w:rFonts w:ascii="Times New Roman" w:hAnsi="Times New Roman" w:cs="Times New Roman"/>
          <w:b/>
          <w:sz w:val="24"/>
          <w:szCs w:val="24"/>
        </w:rPr>
        <w:t>Если в других странах уход в иностранн</w:t>
      </w:r>
      <w:r w:rsidR="000475F7">
        <w:rPr>
          <w:rFonts w:ascii="Times New Roman" w:hAnsi="Times New Roman" w:cs="Times New Roman"/>
          <w:b/>
          <w:sz w:val="24"/>
          <w:szCs w:val="24"/>
        </w:rPr>
        <w:t>ые</w:t>
      </w:r>
      <w:r w:rsidR="00155164" w:rsidRPr="000475F7">
        <w:rPr>
          <w:rFonts w:ascii="Times New Roman" w:hAnsi="Times New Roman" w:cs="Times New Roman"/>
          <w:b/>
          <w:sz w:val="24"/>
          <w:szCs w:val="24"/>
        </w:rPr>
        <w:t xml:space="preserve"> юрисдикци</w:t>
      </w:r>
      <w:r w:rsidR="000475F7">
        <w:rPr>
          <w:rFonts w:ascii="Times New Roman" w:hAnsi="Times New Roman" w:cs="Times New Roman"/>
          <w:b/>
          <w:sz w:val="24"/>
          <w:szCs w:val="24"/>
        </w:rPr>
        <w:t>и</w:t>
      </w:r>
      <w:r w:rsidR="00155164" w:rsidRPr="000475F7">
        <w:rPr>
          <w:rFonts w:ascii="Times New Roman" w:hAnsi="Times New Roman" w:cs="Times New Roman"/>
          <w:b/>
          <w:sz w:val="24"/>
          <w:szCs w:val="24"/>
        </w:rPr>
        <w:t xml:space="preserve"> обусловлен налоговыми проблемами, то в России основная причина – это сохранение высоких рисков для работы бизнеса</w:t>
      </w:r>
      <w:r w:rsidR="00155164" w:rsidRPr="008552EB">
        <w:rPr>
          <w:rFonts w:ascii="Times New Roman" w:hAnsi="Times New Roman" w:cs="Times New Roman"/>
          <w:sz w:val="24"/>
          <w:szCs w:val="24"/>
        </w:rPr>
        <w:t xml:space="preserve">. Вывод активов часто используется как форма страхования. </w:t>
      </w:r>
      <w:r w:rsidR="007F4E49" w:rsidRPr="008552EB">
        <w:rPr>
          <w:rFonts w:ascii="Times New Roman" w:hAnsi="Times New Roman" w:cs="Times New Roman"/>
          <w:sz w:val="24"/>
          <w:szCs w:val="24"/>
        </w:rPr>
        <w:t xml:space="preserve"> </w:t>
      </w:r>
      <w:r w:rsidR="00155164" w:rsidRPr="008552EB">
        <w:rPr>
          <w:rFonts w:ascii="Times New Roman" w:hAnsi="Times New Roman" w:cs="Times New Roman"/>
          <w:sz w:val="24"/>
          <w:szCs w:val="24"/>
        </w:rPr>
        <w:t>При этом бизнесмены, выводящие деньги</w:t>
      </w:r>
      <w:r w:rsidR="00155164">
        <w:rPr>
          <w:rFonts w:ascii="Times New Roman" w:hAnsi="Times New Roman" w:cs="Times New Roman"/>
          <w:sz w:val="24"/>
          <w:szCs w:val="24"/>
        </w:rPr>
        <w:t xml:space="preserve"> за пределы страны</w:t>
      </w:r>
      <w:r w:rsidR="00155164" w:rsidRPr="008552EB">
        <w:rPr>
          <w:rFonts w:ascii="Times New Roman" w:hAnsi="Times New Roman" w:cs="Times New Roman"/>
          <w:sz w:val="24"/>
          <w:szCs w:val="24"/>
        </w:rPr>
        <w:t xml:space="preserve">, разумеется, ищут </w:t>
      </w:r>
      <w:r w:rsidR="00155164">
        <w:rPr>
          <w:rFonts w:ascii="Times New Roman" w:hAnsi="Times New Roman" w:cs="Times New Roman"/>
          <w:sz w:val="24"/>
          <w:szCs w:val="24"/>
        </w:rPr>
        <w:t xml:space="preserve">для этого </w:t>
      </w:r>
      <w:r w:rsidR="00155164" w:rsidRPr="008552EB">
        <w:rPr>
          <w:rFonts w:ascii="Times New Roman" w:hAnsi="Times New Roman" w:cs="Times New Roman"/>
          <w:sz w:val="24"/>
          <w:szCs w:val="24"/>
        </w:rPr>
        <w:t xml:space="preserve">«налоговые гавани», а также страны с наиболее простыми правилами регистрации бизнеса. </w:t>
      </w:r>
      <w:r w:rsidR="007F4E49" w:rsidRPr="000475F7">
        <w:rPr>
          <w:rFonts w:ascii="Times New Roman" w:hAnsi="Times New Roman" w:cs="Times New Roman"/>
          <w:b/>
          <w:sz w:val="24"/>
          <w:szCs w:val="24"/>
        </w:rPr>
        <w:t xml:space="preserve">Использование иностранных юрисдикций с целью минимизации </w:t>
      </w:r>
      <w:r w:rsidR="00155164" w:rsidRPr="008552EB">
        <w:rPr>
          <w:rFonts w:ascii="Times New Roman" w:hAnsi="Times New Roman" w:cs="Times New Roman"/>
          <w:b/>
          <w:sz w:val="24"/>
          <w:szCs w:val="24"/>
        </w:rPr>
        <w:t>рисков характерно для стран с более низким ур</w:t>
      </w:r>
      <w:r w:rsidR="000475F7" w:rsidRPr="008552EB">
        <w:rPr>
          <w:rFonts w:ascii="Times New Roman" w:hAnsi="Times New Roman" w:cs="Times New Roman"/>
          <w:b/>
          <w:sz w:val="24"/>
          <w:szCs w:val="24"/>
        </w:rPr>
        <w:t>овнем развития экономики и поли</w:t>
      </w:r>
      <w:r w:rsidR="00155164" w:rsidRPr="008552EB">
        <w:rPr>
          <w:rFonts w:ascii="Times New Roman" w:hAnsi="Times New Roman" w:cs="Times New Roman"/>
          <w:b/>
          <w:sz w:val="24"/>
          <w:szCs w:val="24"/>
        </w:rPr>
        <w:t>тической системы, чем Россия</w:t>
      </w:r>
      <w:r w:rsidR="00155164">
        <w:rPr>
          <w:rFonts w:ascii="Times New Roman" w:hAnsi="Times New Roman" w:cs="Times New Roman"/>
          <w:sz w:val="24"/>
          <w:szCs w:val="24"/>
        </w:rPr>
        <w:t xml:space="preserve">, и является одним из </w:t>
      </w:r>
      <w:r w:rsidR="000475F7">
        <w:rPr>
          <w:rFonts w:ascii="Times New Roman" w:hAnsi="Times New Roman" w:cs="Times New Roman"/>
          <w:sz w:val="24"/>
          <w:szCs w:val="24"/>
        </w:rPr>
        <w:t xml:space="preserve">системных неблагоприятных факторов для развития нашей страны. </w:t>
      </w:r>
    </w:p>
    <w:p w14:paraId="07F60C6E" w14:textId="77777777" w:rsidR="009F456F" w:rsidRDefault="009F456F"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Фактор «оффшорный капитализм» предполагает, что любой крупный и даже средний бизнес может перевести свои активы полностью или частично </w:t>
      </w:r>
      <w:r w:rsidR="00756039">
        <w:rPr>
          <w:rFonts w:ascii="Times New Roman" w:hAnsi="Times New Roman" w:cs="Times New Roman"/>
          <w:sz w:val="24"/>
          <w:szCs w:val="24"/>
        </w:rPr>
        <w:t>в</w:t>
      </w:r>
      <w:r>
        <w:rPr>
          <w:rFonts w:ascii="Times New Roman" w:hAnsi="Times New Roman" w:cs="Times New Roman"/>
          <w:sz w:val="24"/>
          <w:szCs w:val="24"/>
        </w:rPr>
        <w:t xml:space="preserve"> иностранную юрисдикцию, </w:t>
      </w:r>
      <w:r w:rsidR="00756039">
        <w:rPr>
          <w:rFonts w:ascii="Times New Roman" w:hAnsi="Times New Roman" w:cs="Times New Roman"/>
          <w:sz w:val="24"/>
          <w:szCs w:val="24"/>
        </w:rPr>
        <w:t xml:space="preserve">возможно </w:t>
      </w:r>
      <w:r>
        <w:rPr>
          <w:rFonts w:ascii="Times New Roman" w:hAnsi="Times New Roman" w:cs="Times New Roman"/>
          <w:sz w:val="24"/>
          <w:szCs w:val="24"/>
        </w:rPr>
        <w:t>потеряв в текущей доходности, но гарантировав свои права собственности на эти активы</w:t>
      </w:r>
      <w:r w:rsidR="00756039">
        <w:rPr>
          <w:rFonts w:ascii="Times New Roman" w:hAnsi="Times New Roman" w:cs="Times New Roman"/>
          <w:sz w:val="24"/>
          <w:szCs w:val="24"/>
        </w:rPr>
        <w:t xml:space="preserve"> (в России)</w:t>
      </w:r>
      <w:r>
        <w:rPr>
          <w:rFonts w:ascii="Times New Roman" w:hAnsi="Times New Roman" w:cs="Times New Roman"/>
          <w:sz w:val="24"/>
          <w:szCs w:val="24"/>
        </w:rPr>
        <w:t>.</w:t>
      </w:r>
    </w:p>
    <w:p w14:paraId="05479269" w14:textId="77777777" w:rsidR="00191443" w:rsidRDefault="000475F7"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Сохранение </w:t>
      </w:r>
      <w:r w:rsidR="003C3BC4">
        <w:rPr>
          <w:rFonts w:ascii="Times New Roman" w:hAnsi="Times New Roman" w:cs="Times New Roman"/>
          <w:sz w:val="24"/>
          <w:szCs w:val="24"/>
        </w:rPr>
        <w:t>повышенны</w:t>
      </w:r>
      <w:r>
        <w:rPr>
          <w:rFonts w:ascii="Times New Roman" w:hAnsi="Times New Roman" w:cs="Times New Roman"/>
          <w:sz w:val="24"/>
          <w:szCs w:val="24"/>
        </w:rPr>
        <w:t>х рисков утраты собствен</w:t>
      </w:r>
      <w:r w:rsidR="003C3BC4">
        <w:rPr>
          <w:rFonts w:ascii="Times New Roman" w:hAnsi="Times New Roman" w:cs="Times New Roman"/>
          <w:sz w:val="24"/>
          <w:szCs w:val="24"/>
        </w:rPr>
        <w:t>н</w:t>
      </w:r>
      <w:r>
        <w:rPr>
          <w:rFonts w:ascii="Times New Roman" w:hAnsi="Times New Roman" w:cs="Times New Roman"/>
          <w:sz w:val="24"/>
          <w:szCs w:val="24"/>
        </w:rPr>
        <w:t xml:space="preserve">ости обуславливает сложившуюся </w:t>
      </w:r>
      <w:r w:rsidR="003C3BC4">
        <w:rPr>
          <w:rFonts w:ascii="Times New Roman" w:hAnsi="Times New Roman" w:cs="Times New Roman"/>
          <w:sz w:val="24"/>
          <w:szCs w:val="24"/>
        </w:rPr>
        <w:t>у</w:t>
      </w:r>
      <w:r>
        <w:rPr>
          <w:rFonts w:ascii="Times New Roman" w:hAnsi="Times New Roman" w:cs="Times New Roman"/>
          <w:sz w:val="24"/>
          <w:szCs w:val="24"/>
        </w:rPr>
        <w:t xml:space="preserve"> отечественного бизнеса практику отбора проектов и сделок с доходностью, включающей </w:t>
      </w:r>
      <w:r w:rsidR="001301EB">
        <w:rPr>
          <w:rFonts w:ascii="Times New Roman" w:hAnsi="Times New Roman" w:cs="Times New Roman"/>
          <w:sz w:val="24"/>
          <w:szCs w:val="24"/>
        </w:rPr>
        <w:t xml:space="preserve">высокую </w:t>
      </w:r>
      <w:r>
        <w:rPr>
          <w:rFonts w:ascii="Times New Roman" w:hAnsi="Times New Roman" w:cs="Times New Roman"/>
          <w:sz w:val="24"/>
          <w:szCs w:val="24"/>
        </w:rPr>
        <w:t xml:space="preserve">премию за риск. </w:t>
      </w:r>
    </w:p>
    <w:p w14:paraId="25C86D55" w14:textId="77777777" w:rsidR="001301EB" w:rsidRDefault="001301EB"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Третья особенность, которая сложилась в российской экономике – высокая инфляция (превышающая </w:t>
      </w:r>
      <w:r w:rsidR="00E05D43">
        <w:rPr>
          <w:rFonts w:ascii="Times New Roman" w:hAnsi="Times New Roman" w:cs="Times New Roman"/>
          <w:sz w:val="24"/>
          <w:szCs w:val="24"/>
        </w:rPr>
        <w:t>10% в годовом в</w:t>
      </w:r>
      <w:r>
        <w:rPr>
          <w:rFonts w:ascii="Times New Roman" w:hAnsi="Times New Roman" w:cs="Times New Roman"/>
          <w:sz w:val="24"/>
          <w:szCs w:val="24"/>
        </w:rPr>
        <w:t>ыражении</w:t>
      </w:r>
      <w:r w:rsidR="00E05D43">
        <w:rPr>
          <w:rFonts w:ascii="Times New Roman" w:hAnsi="Times New Roman" w:cs="Times New Roman"/>
          <w:sz w:val="24"/>
          <w:szCs w:val="24"/>
        </w:rPr>
        <w:t xml:space="preserve"> 13 из 15 последних лет</w:t>
      </w:r>
      <w:r>
        <w:rPr>
          <w:rFonts w:ascii="Times New Roman" w:hAnsi="Times New Roman" w:cs="Times New Roman"/>
          <w:sz w:val="24"/>
          <w:szCs w:val="24"/>
        </w:rPr>
        <w:t>).</w:t>
      </w:r>
    </w:p>
    <w:p w14:paraId="15172FA5" w14:textId="77777777" w:rsidR="003C3BC4" w:rsidRPr="008552EB" w:rsidRDefault="00E05D43"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Все</w:t>
      </w:r>
      <w:r w:rsidR="001301EB">
        <w:rPr>
          <w:rFonts w:ascii="Times New Roman" w:hAnsi="Times New Roman" w:cs="Times New Roman"/>
          <w:sz w:val="24"/>
          <w:szCs w:val="24"/>
        </w:rPr>
        <w:t xml:space="preserve"> три </w:t>
      </w:r>
      <w:r w:rsidR="0013082A">
        <w:rPr>
          <w:rFonts w:ascii="Times New Roman" w:hAnsi="Times New Roman" w:cs="Times New Roman"/>
          <w:sz w:val="24"/>
          <w:szCs w:val="24"/>
        </w:rPr>
        <w:t>фактора</w:t>
      </w:r>
      <w:r w:rsidR="001301EB">
        <w:rPr>
          <w:rFonts w:ascii="Times New Roman" w:hAnsi="Times New Roman" w:cs="Times New Roman"/>
          <w:sz w:val="24"/>
          <w:szCs w:val="24"/>
        </w:rPr>
        <w:t xml:space="preserve"> </w:t>
      </w:r>
      <w:r w:rsidR="0013082A">
        <w:rPr>
          <w:rFonts w:ascii="Times New Roman" w:hAnsi="Times New Roman" w:cs="Times New Roman"/>
          <w:sz w:val="24"/>
          <w:szCs w:val="24"/>
        </w:rPr>
        <w:t xml:space="preserve">порождают у российского бизнеса </w:t>
      </w:r>
      <w:r w:rsidR="0013082A" w:rsidRPr="008552EB">
        <w:rPr>
          <w:rFonts w:ascii="Times New Roman" w:hAnsi="Times New Roman" w:cs="Times New Roman"/>
          <w:b/>
          <w:sz w:val="24"/>
          <w:szCs w:val="24"/>
        </w:rPr>
        <w:t>завышенные требования к доходности</w:t>
      </w:r>
      <w:r>
        <w:rPr>
          <w:rFonts w:ascii="Times New Roman" w:hAnsi="Times New Roman" w:cs="Times New Roman"/>
          <w:sz w:val="24"/>
          <w:szCs w:val="24"/>
        </w:rPr>
        <w:t xml:space="preserve">. Если </w:t>
      </w:r>
      <w:r w:rsidR="00FE0716">
        <w:rPr>
          <w:rFonts w:ascii="Times New Roman" w:hAnsi="Times New Roman" w:cs="Times New Roman"/>
          <w:sz w:val="24"/>
          <w:szCs w:val="24"/>
        </w:rPr>
        <w:t xml:space="preserve">в странах с развитой рыночной экономикой </w:t>
      </w:r>
      <w:r>
        <w:rPr>
          <w:rFonts w:ascii="Times New Roman" w:hAnsi="Times New Roman" w:cs="Times New Roman"/>
          <w:sz w:val="24"/>
          <w:szCs w:val="24"/>
        </w:rPr>
        <w:t xml:space="preserve">10-12% </w:t>
      </w:r>
      <w:r w:rsidR="004E5149">
        <w:rPr>
          <w:rFonts w:ascii="Times New Roman" w:hAnsi="Times New Roman" w:cs="Times New Roman"/>
          <w:sz w:val="24"/>
          <w:szCs w:val="24"/>
        </w:rPr>
        <w:t xml:space="preserve">(номинальной) ожидаемой </w:t>
      </w:r>
      <w:r>
        <w:rPr>
          <w:rFonts w:ascii="Times New Roman" w:hAnsi="Times New Roman" w:cs="Times New Roman"/>
          <w:sz w:val="24"/>
          <w:szCs w:val="24"/>
        </w:rPr>
        <w:t xml:space="preserve">годовой доходности являются для бизнеса </w:t>
      </w:r>
      <w:r w:rsidR="004E5149">
        <w:rPr>
          <w:rFonts w:ascii="Times New Roman" w:hAnsi="Times New Roman" w:cs="Times New Roman"/>
          <w:sz w:val="24"/>
          <w:szCs w:val="24"/>
        </w:rPr>
        <w:t>нормальн</w:t>
      </w:r>
      <w:r>
        <w:rPr>
          <w:rFonts w:ascii="Times New Roman" w:hAnsi="Times New Roman" w:cs="Times New Roman"/>
          <w:sz w:val="24"/>
          <w:szCs w:val="24"/>
        </w:rPr>
        <w:t>ым уровнем для начала новых проектов, то в России</w:t>
      </w:r>
      <w:r w:rsidR="00FE0716">
        <w:rPr>
          <w:rFonts w:ascii="Times New Roman" w:hAnsi="Times New Roman" w:cs="Times New Roman"/>
          <w:sz w:val="24"/>
          <w:szCs w:val="24"/>
        </w:rPr>
        <w:t xml:space="preserve"> психологическим порогом будет 20%, а то и 30%.</w:t>
      </w:r>
      <w:r>
        <w:rPr>
          <w:rFonts w:ascii="Times New Roman" w:hAnsi="Times New Roman" w:cs="Times New Roman"/>
          <w:sz w:val="24"/>
          <w:szCs w:val="24"/>
        </w:rPr>
        <w:t xml:space="preserve"> </w:t>
      </w:r>
    </w:p>
    <w:p w14:paraId="358B97A5" w14:textId="20130728" w:rsidR="00D20D2D" w:rsidRDefault="00FC7DE9"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Устойчивым и</w:t>
      </w:r>
      <w:r w:rsidR="00D20D2D">
        <w:rPr>
          <w:rFonts w:ascii="Times New Roman" w:hAnsi="Times New Roman" w:cs="Times New Roman"/>
          <w:sz w:val="24"/>
          <w:szCs w:val="24"/>
        </w:rPr>
        <w:t>сточником такой высокой доходности могут быть</w:t>
      </w:r>
      <w:r>
        <w:rPr>
          <w:rFonts w:ascii="Times New Roman" w:hAnsi="Times New Roman" w:cs="Times New Roman"/>
          <w:sz w:val="24"/>
          <w:szCs w:val="24"/>
        </w:rPr>
        <w:t xml:space="preserve"> </w:t>
      </w:r>
      <w:r w:rsidRPr="008552EB">
        <w:rPr>
          <w:rFonts w:ascii="Times New Roman" w:hAnsi="Times New Roman" w:cs="Times New Roman"/>
          <w:sz w:val="24"/>
          <w:szCs w:val="24"/>
        </w:rPr>
        <w:t>п</w:t>
      </w:r>
      <w:r w:rsidR="00D20D2D" w:rsidRPr="008552EB">
        <w:rPr>
          <w:rFonts w:ascii="Times New Roman" w:hAnsi="Times New Roman" w:cs="Times New Roman"/>
          <w:sz w:val="24"/>
          <w:szCs w:val="24"/>
        </w:rPr>
        <w:t>риродная рента (естественная монополия)</w:t>
      </w:r>
      <w:r w:rsidR="009F456F">
        <w:rPr>
          <w:rFonts w:ascii="Times New Roman" w:hAnsi="Times New Roman" w:cs="Times New Roman"/>
          <w:sz w:val="24"/>
          <w:szCs w:val="24"/>
        </w:rPr>
        <w:t xml:space="preserve"> или же</w:t>
      </w:r>
      <w:r>
        <w:rPr>
          <w:rFonts w:ascii="Times New Roman" w:hAnsi="Times New Roman" w:cs="Times New Roman"/>
          <w:sz w:val="24"/>
          <w:szCs w:val="24"/>
        </w:rPr>
        <w:t xml:space="preserve"> искусственное м</w:t>
      </w:r>
      <w:r w:rsidR="00D20D2D">
        <w:rPr>
          <w:rFonts w:ascii="Times New Roman" w:hAnsi="Times New Roman" w:cs="Times New Roman"/>
          <w:sz w:val="24"/>
          <w:szCs w:val="24"/>
        </w:rPr>
        <w:t>онопольное положение на рынке в условиях</w:t>
      </w:r>
      <w:r>
        <w:rPr>
          <w:rFonts w:ascii="Times New Roman" w:hAnsi="Times New Roman" w:cs="Times New Roman"/>
          <w:sz w:val="24"/>
          <w:szCs w:val="24"/>
        </w:rPr>
        <w:t>,</w:t>
      </w:r>
      <w:r w:rsidR="00D20D2D">
        <w:rPr>
          <w:rFonts w:ascii="Times New Roman" w:hAnsi="Times New Roman" w:cs="Times New Roman"/>
          <w:sz w:val="24"/>
          <w:szCs w:val="24"/>
        </w:rPr>
        <w:t xml:space="preserve"> когда государство не стремится ограничивать монополи</w:t>
      </w:r>
      <w:r w:rsidR="0070063F">
        <w:rPr>
          <w:rFonts w:ascii="Times New Roman" w:hAnsi="Times New Roman" w:cs="Times New Roman"/>
          <w:sz w:val="24"/>
          <w:szCs w:val="24"/>
        </w:rPr>
        <w:t>ста (скажем, регулировать цены).</w:t>
      </w:r>
      <w:r>
        <w:rPr>
          <w:rFonts w:ascii="Times New Roman" w:hAnsi="Times New Roman" w:cs="Times New Roman"/>
          <w:sz w:val="24"/>
          <w:szCs w:val="24"/>
        </w:rPr>
        <w:t xml:space="preserve"> Высокая доходность (но и высокий риск неполучения дохода) характерна также для инновационного бизнеса, создающего принципиально новые товары. Для России</w:t>
      </w:r>
      <w:r w:rsidR="009F456F">
        <w:rPr>
          <w:rFonts w:ascii="Times New Roman" w:hAnsi="Times New Roman" w:cs="Times New Roman"/>
          <w:sz w:val="24"/>
          <w:szCs w:val="24"/>
        </w:rPr>
        <w:t>, впрочем, последний случай нетипичен.</w:t>
      </w:r>
      <w:r>
        <w:rPr>
          <w:rFonts w:ascii="Times New Roman" w:hAnsi="Times New Roman" w:cs="Times New Roman"/>
          <w:sz w:val="24"/>
          <w:szCs w:val="24"/>
        </w:rPr>
        <w:t xml:space="preserve"> </w:t>
      </w:r>
    </w:p>
    <w:p w14:paraId="47457274" w14:textId="77777777" w:rsidR="006E4AC5" w:rsidRPr="008552EB" w:rsidRDefault="00FC7DE9"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009F456F">
        <w:rPr>
          <w:rFonts w:ascii="Times New Roman" w:hAnsi="Times New Roman" w:cs="Times New Roman"/>
          <w:sz w:val="24"/>
          <w:szCs w:val="24"/>
        </w:rPr>
        <w:t xml:space="preserve">необычно </w:t>
      </w:r>
      <w:r>
        <w:rPr>
          <w:rFonts w:ascii="Times New Roman" w:hAnsi="Times New Roman" w:cs="Times New Roman"/>
          <w:sz w:val="24"/>
          <w:szCs w:val="24"/>
        </w:rPr>
        <w:t xml:space="preserve">высокая доходность может быть результатом </w:t>
      </w:r>
      <w:r w:rsidR="009F456F">
        <w:rPr>
          <w:rFonts w:ascii="Times New Roman" w:hAnsi="Times New Roman" w:cs="Times New Roman"/>
          <w:sz w:val="24"/>
          <w:szCs w:val="24"/>
        </w:rPr>
        <w:t>средне</w:t>
      </w:r>
      <w:r>
        <w:rPr>
          <w:rFonts w:ascii="Times New Roman" w:hAnsi="Times New Roman" w:cs="Times New Roman"/>
          <w:sz w:val="24"/>
          <w:szCs w:val="24"/>
        </w:rPr>
        <w:t>срочного</w:t>
      </w:r>
      <w:r w:rsidR="009F456F">
        <w:rPr>
          <w:rFonts w:ascii="Times New Roman" w:hAnsi="Times New Roman" w:cs="Times New Roman"/>
          <w:sz w:val="24"/>
          <w:szCs w:val="24"/>
        </w:rPr>
        <w:t xml:space="preserve"> (несколько лет)</w:t>
      </w:r>
      <w:r w:rsidR="00D20D2D">
        <w:rPr>
          <w:rFonts w:ascii="Times New Roman" w:hAnsi="Times New Roman" w:cs="Times New Roman"/>
          <w:sz w:val="24"/>
          <w:szCs w:val="24"/>
        </w:rPr>
        <w:t xml:space="preserve"> рыночно</w:t>
      </w:r>
      <w:r>
        <w:rPr>
          <w:rFonts w:ascii="Times New Roman" w:hAnsi="Times New Roman" w:cs="Times New Roman"/>
          <w:sz w:val="24"/>
          <w:szCs w:val="24"/>
        </w:rPr>
        <w:t>го</w:t>
      </w:r>
      <w:r w:rsidR="00D20D2D">
        <w:rPr>
          <w:rFonts w:ascii="Times New Roman" w:hAnsi="Times New Roman" w:cs="Times New Roman"/>
          <w:sz w:val="24"/>
          <w:szCs w:val="24"/>
        </w:rPr>
        <w:t xml:space="preserve"> неравновеси</w:t>
      </w:r>
      <w:r>
        <w:rPr>
          <w:rFonts w:ascii="Times New Roman" w:hAnsi="Times New Roman" w:cs="Times New Roman"/>
          <w:sz w:val="24"/>
          <w:szCs w:val="24"/>
        </w:rPr>
        <w:t>я, характерно</w:t>
      </w:r>
      <w:r w:rsidR="009F456F">
        <w:rPr>
          <w:rFonts w:ascii="Times New Roman" w:hAnsi="Times New Roman" w:cs="Times New Roman"/>
          <w:sz w:val="24"/>
          <w:szCs w:val="24"/>
        </w:rPr>
        <w:t>го</w:t>
      </w:r>
      <w:r>
        <w:rPr>
          <w:rFonts w:ascii="Times New Roman" w:hAnsi="Times New Roman" w:cs="Times New Roman"/>
          <w:sz w:val="24"/>
          <w:szCs w:val="24"/>
        </w:rPr>
        <w:t xml:space="preserve"> для начального этапа складывания рынков при слабом регулировании</w:t>
      </w:r>
      <w:r w:rsidR="009F456F">
        <w:rPr>
          <w:rFonts w:ascii="Times New Roman" w:hAnsi="Times New Roman" w:cs="Times New Roman"/>
          <w:sz w:val="24"/>
          <w:szCs w:val="24"/>
        </w:rPr>
        <w:t xml:space="preserve"> и большой информационной асимметрии</w:t>
      </w:r>
      <w:r>
        <w:rPr>
          <w:rFonts w:ascii="Times New Roman" w:hAnsi="Times New Roman" w:cs="Times New Roman"/>
          <w:sz w:val="24"/>
          <w:szCs w:val="24"/>
        </w:rPr>
        <w:t>.</w:t>
      </w:r>
      <w:r w:rsidR="009F456F">
        <w:rPr>
          <w:rFonts w:ascii="Times New Roman" w:hAnsi="Times New Roman" w:cs="Times New Roman"/>
          <w:sz w:val="24"/>
          <w:szCs w:val="24"/>
        </w:rPr>
        <w:t xml:space="preserve"> Примером может быть российская оптовая и розничная торговля в 90-е годы. </w:t>
      </w:r>
      <w:r w:rsidR="00191443">
        <w:rPr>
          <w:rFonts w:ascii="Times New Roman" w:hAnsi="Times New Roman" w:cs="Times New Roman"/>
          <w:sz w:val="24"/>
          <w:szCs w:val="24"/>
        </w:rPr>
        <w:tab/>
      </w:r>
      <w:r w:rsidR="003C3BC4">
        <w:rPr>
          <w:rFonts w:ascii="Times New Roman" w:hAnsi="Times New Roman" w:cs="Times New Roman"/>
          <w:sz w:val="24"/>
          <w:szCs w:val="24"/>
        </w:rPr>
        <w:tab/>
      </w:r>
    </w:p>
    <w:p w14:paraId="4E4499FE" w14:textId="15064A33" w:rsidR="006E4AC5" w:rsidRDefault="00CA74AF"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Реакция такой системы на рост доходов от экспорта углеводородов породила </w:t>
      </w:r>
      <w:r w:rsidR="006E4AC5">
        <w:rPr>
          <w:rFonts w:ascii="Times New Roman" w:hAnsi="Times New Roman" w:cs="Times New Roman"/>
          <w:sz w:val="24"/>
          <w:szCs w:val="24"/>
        </w:rPr>
        <w:t xml:space="preserve">в 2000-е годы </w:t>
      </w:r>
      <w:r>
        <w:rPr>
          <w:rFonts w:ascii="Times New Roman" w:hAnsi="Times New Roman" w:cs="Times New Roman"/>
          <w:sz w:val="24"/>
          <w:szCs w:val="24"/>
        </w:rPr>
        <w:t>новый феномен - трехс</w:t>
      </w:r>
      <w:r w:rsidR="003A298B">
        <w:rPr>
          <w:rFonts w:ascii="Times New Roman" w:hAnsi="Times New Roman" w:cs="Times New Roman"/>
          <w:sz w:val="24"/>
          <w:szCs w:val="24"/>
        </w:rPr>
        <w:t>е</w:t>
      </w:r>
      <w:r>
        <w:rPr>
          <w:rFonts w:ascii="Times New Roman" w:hAnsi="Times New Roman" w:cs="Times New Roman"/>
          <w:sz w:val="24"/>
          <w:szCs w:val="24"/>
        </w:rPr>
        <w:t>кторную экономику</w:t>
      </w:r>
      <w:r w:rsidR="004E5149">
        <w:rPr>
          <w:rFonts w:ascii="Times New Roman" w:hAnsi="Times New Roman" w:cs="Times New Roman"/>
          <w:sz w:val="24"/>
          <w:szCs w:val="24"/>
        </w:rPr>
        <w:t>.</w:t>
      </w:r>
    </w:p>
    <w:p w14:paraId="38D4748C" w14:textId="77777777" w:rsidR="004E5149" w:rsidRDefault="004E5149" w:rsidP="001049F3">
      <w:pPr>
        <w:pStyle w:val="af0"/>
        <w:spacing w:line="360" w:lineRule="auto"/>
        <w:ind w:left="0" w:firstLine="284"/>
        <w:jc w:val="both"/>
        <w:rPr>
          <w:rFonts w:ascii="Times New Roman" w:hAnsi="Times New Roman" w:cs="Times New Roman"/>
          <w:sz w:val="24"/>
          <w:szCs w:val="24"/>
        </w:rPr>
      </w:pPr>
    </w:p>
    <w:p w14:paraId="4987FF71" w14:textId="711AE6DE" w:rsidR="004E5149" w:rsidRPr="008552EB" w:rsidRDefault="001D2916" w:rsidP="001049F3">
      <w:pPr>
        <w:pStyle w:val="af0"/>
        <w:spacing w:line="360" w:lineRule="auto"/>
        <w:ind w:left="0" w:firstLine="284"/>
        <w:jc w:val="both"/>
        <w:rPr>
          <w:rFonts w:ascii="Times New Roman" w:hAnsi="Times New Roman" w:cs="Times New Roman"/>
          <w:b/>
          <w:sz w:val="28"/>
          <w:szCs w:val="24"/>
        </w:rPr>
      </w:pPr>
      <w:r>
        <w:rPr>
          <w:rFonts w:ascii="Times New Roman" w:hAnsi="Times New Roman" w:cs="Times New Roman"/>
          <w:b/>
          <w:sz w:val="28"/>
          <w:szCs w:val="24"/>
        </w:rPr>
        <w:t xml:space="preserve">Часть 3. </w:t>
      </w:r>
      <w:r w:rsidR="004E5149" w:rsidRPr="008552EB">
        <w:rPr>
          <w:rFonts w:ascii="Times New Roman" w:hAnsi="Times New Roman" w:cs="Times New Roman"/>
          <w:b/>
          <w:sz w:val="28"/>
          <w:szCs w:val="24"/>
        </w:rPr>
        <w:t xml:space="preserve">Трехсекторная экономика и ее ожидаемая эволюция. </w:t>
      </w:r>
    </w:p>
    <w:p w14:paraId="7F347D6B" w14:textId="334EB8A0" w:rsidR="00791C2A" w:rsidRDefault="006E4AC5" w:rsidP="0070063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«тучные» годы в экономике сформировались три </w:t>
      </w:r>
      <w:proofErr w:type="spellStart"/>
      <w:r>
        <w:rPr>
          <w:rFonts w:ascii="Times New Roman" w:hAnsi="Times New Roman" w:cs="Times New Roman"/>
          <w:sz w:val="24"/>
          <w:szCs w:val="24"/>
        </w:rPr>
        <w:t>макросектора</w:t>
      </w:r>
      <w:proofErr w:type="spellEnd"/>
      <w:r>
        <w:rPr>
          <w:rFonts w:ascii="Times New Roman" w:hAnsi="Times New Roman" w:cs="Times New Roman"/>
          <w:sz w:val="24"/>
          <w:szCs w:val="24"/>
        </w:rPr>
        <w:t xml:space="preserve"> бизнеса, по разному вписанные в систему взаимоотношений, связанных с получением и использованием нефтегазовой ренты и других ресурсов. В таблице  3.1. представлено распределение отраслей экономики по </w:t>
      </w:r>
      <w:proofErr w:type="spellStart"/>
      <w:r>
        <w:rPr>
          <w:rFonts w:ascii="Times New Roman" w:hAnsi="Times New Roman" w:cs="Times New Roman"/>
          <w:sz w:val="24"/>
          <w:szCs w:val="24"/>
        </w:rPr>
        <w:t>макросекторам</w:t>
      </w:r>
      <w:proofErr w:type="spellEnd"/>
      <w:r>
        <w:rPr>
          <w:rFonts w:ascii="Times New Roman" w:hAnsi="Times New Roman" w:cs="Times New Roman"/>
          <w:sz w:val="24"/>
          <w:szCs w:val="24"/>
        </w:rPr>
        <w:t xml:space="preserve"> в зависимости от преобладающего типа бизнеса (разумеется, в каждом случае существует много исключений). </w:t>
      </w:r>
      <w:r w:rsidR="003B71CE">
        <w:rPr>
          <w:rFonts w:ascii="Times New Roman" w:hAnsi="Times New Roman" w:cs="Times New Roman"/>
          <w:sz w:val="24"/>
          <w:szCs w:val="24"/>
        </w:rPr>
        <w:t xml:space="preserve">Кроме того, разумеется, часть экономики </w:t>
      </w:r>
      <w:r w:rsidR="003B71CE">
        <w:rPr>
          <w:rFonts w:ascii="Times New Roman" w:hAnsi="Times New Roman" w:cs="Times New Roman"/>
          <w:sz w:val="24"/>
          <w:szCs w:val="24"/>
        </w:rPr>
        <w:lastRenderedPageBreak/>
        <w:t>остается вне рынка и обслуживается в основном государственными и муниципальными учреждениями – это так называемый бюджетный сектор</w:t>
      </w:r>
      <w:r w:rsidR="003B71CE">
        <w:rPr>
          <w:rStyle w:val="af"/>
          <w:rFonts w:ascii="Times New Roman" w:hAnsi="Times New Roman" w:cs="Times New Roman"/>
          <w:sz w:val="24"/>
          <w:szCs w:val="24"/>
        </w:rPr>
        <w:footnoteReference w:id="5"/>
      </w:r>
      <w:r w:rsidR="003B71CE">
        <w:rPr>
          <w:rFonts w:ascii="Times New Roman" w:hAnsi="Times New Roman" w:cs="Times New Roman"/>
          <w:sz w:val="24"/>
          <w:szCs w:val="24"/>
        </w:rPr>
        <w:t>.</w:t>
      </w:r>
    </w:p>
    <w:p w14:paraId="45813294" w14:textId="77777777" w:rsidR="006E4AC5" w:rsidRPr="003D0A17" w:rsidRDefault="006E4AC5" w:rsidP="006E4AC5">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Таблица 3.1. </w:t>
      </w:r>
      <w:r w:rsidRPr="003D0A17">
        <w:rPr>
          <w:rFonts w:ascii="Times New Roman" w:hAnsi="Times New Roman" w:cs="Times New Roman"/>
          <w:b/>
          <w:sz w:val="24"/>
          <w:szCs w:val="24"/>
        </w:rPr>
        <w:t xml:space="preserve">Распределение секторов экономики по </w:t>
      </w:r>
      <w:proofErr w:type="spellStart"/>
      <w:r w:rsidRPr="003D0A17">
        <w:rPr>
          <w:rFonts w:ascii="Times New Roman" w:hAnsi="Times New Roman" w:cs="Times New Roman"/>
          <w:b/>
          <w:sz w:val="24"/>
          <w:szCs w:val="24"/>
        </w:rPr>
        <w:t>макросекторам</w:t>
      </w:r>
      <w:proofErr w:type="spellEnd"/>
    </w:p>
    <w:tbl>
      <w:tblPr>
        <w:tblW w:w="10020" w:type="dxa"/>
        <w:tblInd w:w="93" w:type="dxa"/>
        <w:tblLook w:val="04A0" w:firstRow="1" w:lastRow="0" w:firstColumn="1" w:lastColumn="0" w:noHBand="0" w:noVBand="1"/>
      </w:tblPr>
      <w:tblGrid>
        <w:gridCol w:w="6980"/>
        <w:gridCol w:w="3040"/>
      </w:tblGrid>
      <w:tr w:rsidR="006E4AC5" w:rsidRPr="00546E78" w14:paraId="3D35F883" w14:textId="77777777" w:rsidTr="009310E6">
        <w:trPr>
          <w:trHeight w:val="563"/>
        </w:trPr>
        <w:tc>
          <w:tcPr>
            <w:tcW w:w="6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E215A" w14:textId="77777777" w:rsidR="006E4AC5" w:rsidRPr="008552EB" w:rsidRDefault="006E4AC5" w:rsidP="006E4AC5">
            <w:pPr>
              <w:spacing w:after="0" w:line="240" w:lineRule="auto"/>
              <w:rPr>
                <w:rFonts w:ascii="Calibri" w:eastAsia="Times New Roman" w:hAnsi="Calibri" w:cs="Times New Roman"/>
                <w:b/>
                <w:bCs/>
                <w:color w:val="000000"/>
                <w:lang w:val="en-US" w:eastAsia="ru-RU"/>
              </w:rPr>
            </w:pPr>
            <w:r w:rsidRPr="00546E78">
              <w:rPr>
                <w:rFonts w:ascii="Calibri" w:eastAsia="Times New Roman" w:hAnsi="Calibri" w:cs="Times New Roman"/>
                <w:b/>
                <w:bCs/>
                <w:color w:val="000000"/>
                <w:lang w:eastAsia="ru-RU"/>
              </w:rPr>
              <w:t>Сектор</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14:paraId="69D22082" w14:textId="77777777" w:rsidR="006E4AC5" w:rsidRPr="00546E78" w:rsidRDefault="006E4AC5" w:rsidP="006E4AC5">
            <w:pPr>
              <w:spacing w:after="0" w:line="240" w:lineRule="auto"/>
              <w:jc w:val="center"/>
              <w:rPr>
                <w:rFonts w:ascii="Calibri" w:eastAsia="Times New Roman" w:hAnsi="Calibri" w:cs="Times New Roman"/>
                <w:b/>
                <w:bCs/>
                <w:color w:val="000000"/>
                <w:lang w:eastAsia="ru-RU"/>
              </w:rPr>
            </w:pPr>
            <w:proofErr w:type="spellStart"/>
            <w:r w:rsidRPr="00546E78">
              <w:rPr>
                <w:rFonts w:ascii="Calibri" w:eastAsia="Times New Roman" w:hAnsi="Calibri" w:cs="Times New Roman"/>
                <w:b/>
                <w:bCs/>
                <w:color w:val="000000"/>
                <w:lang w:eastAsia="ru-RU"/>
              </w:rPr>
              <w:t>Макросектор</w:t>
            </w:r>
            <w:proofErr w:type="spellEnd"/>
          </w:p>
        </w:tc>
      </w:tr>
      <w:tr w:rsidR="006E4AC5" w:rsidRPr="00546E78" w14:paraId="1069B643" w14:textId="77777777" w:rsidTr="006E4AC5">
        <w:trPr>
          <w:trHeight w:val="375"/>
        </w:trPr>
        <w:tc>
          <w:tcPr>
            <w:tcW w:w="6980" w:type="dxa"/>
            <w:tcBorders>
              <w:top w:val="nil"/>
              <w:left w:val="single" w:sz="4" w:space="0" w:color="auto"/>
              <w:bottom w:val="single" w:sz="4" w:space="0" w:color="auto"/>
              <w:right w:val="single" w:sz="4" w:space="0" w:color="auto"/>
            </w:tcBorders>
            <w:shd w:val="clear" w:color="000000" w:fill="DCE6F1"/>
            <w:vAlign w:val="center"/>
            <w:hideMark/>
          </w:tcPr>
          <w:p w14:paraId="5A8B98E6" w14:textId="77777777" w:rsidR="006E4AC5" w:rsidRPr="00546E78" w:rsidRDefault="006E4AC5" w:rsidP="006E4AC5">
            <w:pPr>
              <w:spacing w:after="0" w:line="240" w:lineRule="auto"/>
              <w:rPr>
                <w:rFonts w:ascii="Arial" w:eastAsia="Times New Roman" w:hAnsi="Arial" w:cs="Arial"/>
                <w:sz w:val="20"/>
                <w:szCs w:val="20"/>
                <w:lang w:eastAsia="ru-RU"/>
              </w:rPr>
            </w:pPr>
            <w:r w:rsidRPr="00546E78">
              <w:rPr>
                <w:rFonts w:ascii="Arial" w:eastAsia="Times New Roman" w:hAnsi="Arial" w:cs="Arial"/>
                <w:sz w:val="20"/>
                <w:szCs w:val="20"/>
                <w:lang w:eastAsia="ru-RU"/>
              </w:rPr>
              <w:t>А Сельское хозяйство, охота и лесное хозяйство</w:t>
            </w:r>
          </w:p>
        </w:tc>
        <w:tc>
          <w:tcPr>
            <w:tcW w:w="3040" w:type="dxa"/>
            <w:tcBorders>
              <w:top w:val="nil"/>
              <w:left w:val="nil"/>
              <w:bottom w:val="single" w:sz="4" w:space="0" w:color="auto"/>
              <w:right w:val="single" w:sz="4" w:space="0" w:color="auto"/>
            </w:tcBorders>
            <w:shd w:val="clear" w:color="000000" w:fill="DCE6F1"/>
            <w:noWrap/>
            <w:vAlign w:val="center"/>
            <w:hideMark/>
          </w:tcPr>
          <w:p w14:paraId="38758B31" w14:textId="77777777" w:rsidR="006E4AC5" w:rsidRPr="00546E78" w:rsidRDefault="006E4AC5" w:rsidP="006E4AC5">
            <w:pPr>
              <w:spacing w:after="0" w:line="240" w:lineRule="auto"/>
              <w:jc w:val="center"/>
              <w:rPr>
                <w:rFonts w:ascii="Arial" w:eastAsia="Times New Roman" w:hAnsi="Arial" w:cs="Arial"/>
                <w:color w:val="000000"/>
                <w:sz w:val="20"/>
                <w:szCs w:val="20"/>
                <w:lang w:eastAsia="ru-RU"/>
              </w:rPr>
            </w:pPr>
            <w:r w:rsidRPr="00546E78">
              <w:rPr>
                <w:rFonts w:ascii="Arial" w:eastAsia="Times New Roman" w:hAnsi="Arial" w:cs="Arial"/>
                <w:color w:val="000000"/>
                <w:sz w:val="20"/>
                <w:szCs w:val="20"/>
                <w:lang w:eastAsia="ru-RU"/>
              </w:rPr>
              <w:t xml:space="preserve">Малый и средний </w:t>
            </w:r>
            <w:proofErr w:type="spellStart"/>
            <w:r>
              <w:rPr>
                <w:rFonts w:ascii="Arial" w:eastAsia="Times New Roman" w:hAnsi="Arial" w:cs="Arial"/>
                <w:color w:val="000000"/>
                <w:sz w:val="20"/>
                <w:szCs w:val="20"/>
                <w:lang w:eastAsia="ru-RU"/>
              </w:rPr>
              <w:t>несырьевой</w:t>
            </w:r>
            <w:proofErr w:type="spellEnd"/>
            <w:r>
              <w:rPr>
                <w:rFonts w:ascii="Arial" w:eastAsia="Times New Roman" w:hAnsi="Arial" w:cs="Arial"/>
                <w:color w:val="000000"/>
                <w:sz w:val="20"/>
                <w:szCs w:val="20"/>
                <w:lang w:eastAsia="ru-RU"/>
              </w:rPr>
              <w:t xml:space="preserve"> </w:t>
            </w:r>
            <w:r w:rsidRPr="00546E78">
              <w:rPr>
                <w:rFonts w:ascii="Arial" w:eastAsia="Times New Roman" w:hAnsi="Arial" w:cs="Arial"/>
                <w:color w:val="000000"/>
                <w:sz w:val="20"/>
                <w:szCs w:val="20"/>
                <w:lang w:eastAsia="ru-RU"/>
              </w:rPr>
              <w:t>бизнес</w:t>
            </w:r>
          </w:p>
        </w:tc>
      </w:tr>
      <w:tr w:rsidR="006E4AC5" w:rsidRPr="00546E78" w14:paraId="78C54E02" w14:textId="77777777" w:rsidTr="006E4AC5">
        <w:trPr>
          <w:trHeight w:val="375"/>
        </w:trPr>
        <w:tc>
          <w:tcPr>
            <w:tcW w:w="6980" w:type="dxa"/>
            <w:tcBorders>
              <w:top w:val="nil"/>
              <w:left w:val="single" w:sz="4" w:space="0" w:color="auto"/>
              <w:bottom w:val="single" w:sz="4" w:space="0" w:color="auto"/>
              <w:right w:val="single" w:sz="4" w:space="0" w:color="auto"/>
            </w:tcBorders>
            <w:shd w:val="clear" w:color="000000" w:fill="DCE6F1"/>
            <w:vAlign w:val="center"/>
            <w:hideMark/>
          </w:tcPr>
          <w:p w14:paraId="4281EB8D" w14:textId="77777777" w:rsidR="006E4AC5" w:rsidRPr="00546E78" w:rsidRDefault="006E4AC5" w:rsidP="006E4AC5">
            <w:pPr>
              <w:spacing w:after="0" w:line="240" w:lineRule="auto"/>
              <w:rPr>
                <w:rFonts w:ascii="Arial" w:eastAsia="Times New Roman" w:hAnsi="Arial" w:cs="Arial"/>
                <w:sz w:val="20"/>
                <w:szCs w:val="20"/>
                <w:lang w:eastAsia="ru-RU"/>
              </w:rPr>
            </w:pPr>
            <w:r w:rsidRPr="00546E78">
              <w:rPr>
                <w:rFonts w:ascii="Arial" w:eastAsia="Times New Roman" w:hAnsi="Arial" w:cs="Arial"/>
                <w:sz w:val="20"/>
                <w:szCs w:val="20"/>
                <w:lang w:eastAsia="ru-RU"/>
              </w:rPr>
              <w:t>В Рыболовство, рыбоводство</w:t>
            </w:r>
          </w:p>
        </w:tc>
        <w:tc>
          <w:tcPr>
            <w:tcW w:w="3040" w:type="dxa"/>
            <w:tcBorders>
              <w:top w:val="nil"/>
              <w:left w:val="nil"/>
              <w:bottom w:val="single" w:sz="4" w:space="0" w:color="auto"/>
              <w:right w:val="single" w:sz="4" w:space="0" w:color="auto"/>
            </w:tcBorders>
            <w:shd w:val="clear" w:color="000000" w:fill="DCE6F1"/>
            <w:noWrap/>
            <w:vAlign w:val="center"/>
            <w:hideMark/>
          </w:tcPr>
          <w:p w14:paraId="0D365771" w14:textId="77777777" w:rsidR="006E4AC5" w:rsidRPr="00546E78" w:rsidRDefault="006E4AC5" w:rsidP="006E4AC5">
            <w:pPr>
              <w:spacing w:after="0" w:line="240" w:lineRule="auto"/>
              <w:jc w:val="center"/>
              <w:rPr>
                <w:rFonts w:ascii="Arial" w:eastAsia="Times New Roman" w:hAnsi="Arial" w:cs="Arial"/>
                <w:color w:val="000000"/>
                <w:sz w:val="20"/>
                <w:szCs w:val="20"/>
                <w:lang w:eastAsia="ru-RU"/>
              </w:rPr>
            </w:pPr>
            <w:r w:rsidRPr="00546E78">
              <w:rPr>
                <w:rFonts w:ascii="Arial" w:eastAsia="Times New Roman" w:hAnsi="Arial" w:cs="Arial"/>
                <w:color w:val="000000"/>
                <w:sz w:val="20"/>
                <w:szCs w:val="20"/>
                <w:lang w:eastAsia="ru-RU"/>
              </w:rPr>
              <w:t xml:space="preserve">Малый и средний </w:t>
            </w:r>
            <w:proofErr w:type="spellStart"/>
            <w:r>
              <w:rPr>
                <w:rFonts w:ascii="Arial" w:eastAsia="Times New Roman" w:hAnsi="Arial" w:cs="Arial"/>
                <w:color w:val="000000"/>
                <w:sz w:val="20"/>
                <w:szCs w:val="20"/>
                <w:lang w:eastAsia="ru-RU"/>
              </w:rPr>
              <w:t>несырьевой</w:t>
            </w:r>
            <w:proofErr w:type="spellEnd"/>
            <w:r>
              <w:rPr>
                <w:rFonts w:ascii="Arial" w:eastAsia="Times New Roman" w:hAnsi="Arial" w:cs="Arial"/>
                <w:color w:val="000000"/>
                <w:sz w:val="20"/>
                <w:szCs w:val="20"/>
                <w:lang w:eastAsia="ru-RU"/>
              </w:rPr>
              <w:t xml:space="preserve"> </w:t>
            </w:r>
            <w:r w:rsidRPr="00546E78">
              <w:rPr>
                <w:rFonts w:ascii="Arial" w:eastAsia="Times New Roman" w:hAnsi="Arial" w:cs="Arial"/>
                <w:color w:val="000000"/>
                <w:sz w:val="20"/>
                <w:szCs w:val="20"/>
                <w:lang w:eastAsia="ru-RU"/>
              </w:rPr>
              <w:t>бизнес</w:t>
            </w:r>
          </w:p>
        </w:tc>
      </w:tr>
      <w:tr w:rsidR="006E4AC5" w:rsidRPr="00546E78" w14:paraId="29F89397" w14:textId="77777777" w:rsidTr="006E4AC5">
        <w:trPr>
          <w:trHeight w:val="375"/>
        </w:trPr>
        <w:tc>
          <w:tcPr>
            <w:tcW w:w="6980" w:type="dxa"/>
            <w:tcBorders>
              <w:top w:val="nil"/>
              <w:left w:val="single" w:sz="4" w:space="0" w:color="auto"/>
              <w:bottom w:val="single" w:sz="4" w:space="0" w:color="auto"/>
              <w:right w:val="single" w:sz="4" w:space="0" w:color="auto"/>
            </w:tcBorders>
            <w:shd w:val="clear" w:color="000000" w:fill="C4BD97"/>
            <w:vAlign w:val="center"/>
            <w:hideMark/>
          </w:tcPr>
          <w:p w14:paraId="444E9943" w14:textId="77777777" w:rsidR="006E4AC5" w:rsidRPr="00546E78" w:rsidRDefault="006E4AC5" w:rsidP="006E4AC5">
            <w:pPr>
              <w:spacing w:after="0" w:line="240" w:lineRule="auto"/>
              <w:rPr>
                <w:rFonts w:ascii="Arial" w:eastAsia="Times New Roman" w:hAnsi="Arial" w:cs="Arial"/>
                <w:sz w:val="20"/>
                <w:szCs w:val="20"/>
                <w:lang w:eastAsia="ru-RU"/>
              </w:rPr>
            </w:pPr>
            <w:r w:rsidRPr="00546E78">
              <w:rPr>
                <w:rFonts w:ascii="Arial" w:eastAsia="Times New Roman" w:hAnsi="Arial" w:cs="Arial"/>
                <w:sz w:val="20"/>
                <w:szCs w:val="20"/>
                <w:lang w:eastAsia="ru-RU"/>
              </w:rPr>
              <w:t>С Добыча полезных ископаемых</w:t>
            </w:r>
          </w:p>
        </w:tc>
        <w:tc>
          <w:tcPr>
            <w:tcW w:w="3040" w:type="dxa"/>
            <w:tcBorders>
              <w:top w:val="nil"/>
              <w:left w:val="nil"/>
              <w:bottom w:val="single" w:sz="4" w:space="0" w:color="auto"/>
              <w:right w:val="single" w:sz="4" w:space="0" w:color="auto"/>
            </w:tcBorders>
            <w:shd w:val="clear" w:color="000000" w:fill="C4BD97"/>
            <w:noWrap/>
            <w:vAlign w:val="center"/>
            <w:hideMark/>
          </w:tcPr>
          <w:p w14:paraId="165A86F8" w14:textId="77777777" w:rsidR="006E4AC5" w:rsidRPr="00546E78" w:rsidRDefault="006E4AC5" w:rsidP="006E4AC5">
            <w:pPr>
              <w:spacing w:after="0" w:line="240" w:lineRule="auto"/>
              <w:jc w:val="center"/>
              <w:rPr>
                <w:rFonts w:ascii="Arial" w:eastAsia="Times New Roman" w:hAnsi="Arial" w:cs="Arial"/>
                <w:color w:val="000000"/>
                <w:sz w:val="20"/>
                <w:szCs w:val="20"/>
                <w:lang w:eastAsia="ru-RU"/>
              </w:rPr>
            </w:pPr>
            <w:r w:rsidRPr="00546E78">
              <w:rPr>
                <w:rFonts w:ascii="Arial" w:eastAsia="Times New Roman" w:hAnsi="Arial" w:cs="Arial"/>
                <w:color w:val="000000"/>
                <w:sz w:val="20"/>
                <w:szCs w:val="20"/>
                <w:lang w:eastAsia="ru-RU"/>
              </w:rPr>
              <w:t>Сырьев</w:t>
            </w:r>
            <w:r>
              <w:rPr>
                <w:rFonts w:ascii="Arial" w:eastAsia="Times New Roman" w:hAnsi="Arial" w:cs="Arial"/>
                <w:color w:val="000000"/>
                <w:sz w:val="20"/>
                <w:szCs w:val="20"/>
                <w:lang w:eastAsia="ru-RU"/>
              </w:rPr>
              <w:t>ой</w:t>
            </w:r>
            <w:r w:rsidRPr="00546E78">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бизнес</w:t>
            </w:r>
          </w:p>
        </w:tc>
      </w:tr>
      <w:tr w:rsidR="006E4AC5" w:rsidRPr="00546E78" w14:paraId="174D8B27" w14:textId="77777777" w:rsidTr="006E4AC5">
        <w:trPr>
          <w:trHeight w:val="375"/>
        </w:trPr>
        <w:tc>
          <w:tcPr>
            <w:tcW w:w="6980" w:type="dxa"/>
            <w:tcBorders>
              <w:top w:val="nil"/>
              <w:left w:val="single" w:sz="4" w:space="0" w:color="auto"/>
              <w:bottom w:val="single" w:sz="4" w:space="0" w:color="auto"/>
              <w:right w:val="single" w:sz="4" w:space="0" w:color="auto"/>
            </w:tcBorders>
            <w:shd w:val="clear" w:color="000000" w:fill="B1A0C7"/>
            <w:vAlign w:val="center"/>
            <w:hideMark/>
          </w:tcPr>
          <w:p w14:paraId="4042C3E0" w14:textId="77777777" w:rsidR="006E4AC5" w:rsidRPr="00546E78" w:rsidRDefault="006E4AC5" w:rsidP="006E4AC5">
            <w:pPr>
              <w:spacing w:after="0" w:line="240" w:lineRule="auto"/>
              <w:rPr>
                <w:rFonts w:ascii="Arial" w:eastAsia="Times New Roman" w:hAnsi="Arial" w:cs="Arial"/>
                <w:sz w:val="20"/>
                <w:szCs w:val="20"/>
                <w:lang w:eastAsia="ru-RU"/>
              </w:rPr>
            </w:pPr>
            <w:r w:rsidRPr="00546E78">
              <w:rPr>
                <w:rFonts w:ascii="Arial" w:eastAsia="Times New Roman" w:hAnsi="Arial" w:cs="Arial"/>
                <w:sz w:val="20"/>
                <w:szCs w:val="20"/>
                <w:lang w:eastAsia="ru-RU"/>
              </w:rPr>
              <w:t>D Обрабатывающие производства</w:t>
            </w:r>
          </w:p>
        </w:tc>
        <w:tc>
          <w:tcPr>
            <w:tcW w:w="3040" w:type="dxa"/>
            <w:tcBorders>
              <w:top w:val="nil"/>
              <w:left w:val="nil"/>
              <w:bottom w:val="single" w:sz="4" w:space="0" w:color="auto"/>
              <w:right w:val="single" w:sz="4" w:space="0" w:color="auto"/>
            </w:tcBorders>
            <w:shd w:val="clear" w:color="000000" w:fill="B1A0C7"/>
            <w:noWrap/>
            <w:vAlign w:val="center"/>
            <w:hideMark/>
          </w:tcPr>
          <w:p w14:paraId="5C612ECE" w14:textId="77777777" w:rsidR="006E4AC5" w:rsidRPr="00546E78" w:rsidRDefault="006E4AC5" w:rsidP="006E4AC5">
            <w:pPr>
              <w:spacing w:after="0" w:line="240" w:lineRule="auto"/>
              <w:jc w:val="center"/>
              <w:rPr>
                <w:rFonts w:ascii="Arial" w:eastAsia="Times New Roman" w:hAnsi="Arial" w:cs="Arial"/>
                <w:color w:val="000000"/>
                <w:sz w:val="20"/>
                <w:szCs w:val="20"/>
                <w:lang w:eastAsia="ru-RU"/>
              </w:rPr>
            </w:pPr>
            <w:r w:rsidRPr="00546E78">
              <w:rPr>
                <w:rFonts w:ascii="Arial" w:eastAsia="Times New Roman" w:hAnsi="Arial" w:cs="Arial"/>
                <w:color w:val="000000"/>
                <w:sz w:val="20"/>
                <w:szCs w:val="20"/>
                <w:lang w:eastAsia="ru-RU"/>
              </w:rPr>
              <w:t xml:space="preserve">Крупный </w:t>
            </w:r>
            <w:proofErr w:type="spellStart"/>
            <w:r>
              <w:rPr>
                <w:rFonts w:ascii="Arial" w:eastAsia="Times New Roman" w:hAnsi="Arial" w:cs="Arial"/>
                <w:color w:val="000000"/>
                <w:sz w:val="20"/>
                <w:szCs w:val="20"/>
                <w:lang w:eastAsia="ru-RU"/>
              </w:rPr>
              <w:t>несырьевой</w:t>
            </w:r>
            <w:proofErr w:type="spellEnd"/>
            <w:r>
              <w:rPr>
                <w:rFonts w:ascii="Arial" w:eastAsia="Times New Roman" w:hAnsi="Arial" w:cs="Arial"/>
                <w:color w:val="000000"/>
                <w:sz w:val="20"/>
                <w:szCs w:val="20"/>
                <w:lang w:eastAsia="ru-RU"/>
              </w:rPr>
              <w:t xml:space="preserve"> </w:t>
            </w:r>
            <w:r w:rsidRPr="00546E78">
              <w:rPr>
                <w:rFonts w:ascii="Arial" w:eastAsia="Times New Roman" w:hAnsi="Arial" w:cs="Arial"/>
                <w:color w:val="000000"/>
                <w:sz w:val="20"/>
                <w:szCs w:val="20"/>
                <w:lang w:eastAsia="ru-RU"/>
              </w:rPr>
              <w:t>бизнес</w:t>
            </w:r>
          </w:p>
        </w:tc>
      </w:tr>
      <w:tr w:rsidR="006E4AC5" w:rsidRPr="00546E78" w14:paraId="03059A09" w14:textId="77777777" w:rsidTr="006E4AC5">
        <w:trPr>
          <w:trHeight w:val="375"/>
        </w:trPr>
        <w:tc>
          <w:tcPr>
            <w:tcW w:w="6980" w:type="dxa"/>
            <w:tcBorders>
              <w:top w:val="nil"/>
              <w:left w:val="single" w:sz="4" w:space="0" w:color="auto"/>
              <w:bottom w:val="single" w:sz="4" w:space="0" w:color="auto"/>
              <w:right w:val="single" w:sz="4" w:space="0" w:color="auto"/>
            </w:tcBorders>
            <w:shd w:val="clear" w:color="000000" w:fill="C4BD97"/>
            <w:vAlign w:val="center"/>
            <w:hideMark/>
          </w:tcPr>
          <w:p w14:paraId="14E00361" w14:textId="77777777" w:rsidR="006E4AC5" w:rsidRPr="00546E78" w:rsidRDefault="006E4AC5" w:rsidP="006E4AC5">
            <w:pPr>
              <w:spacing w:after="0" w:line="240" w:lineRule="auto"/>
              <w:rPr>
                <w:rFonts w:ascii="Arial" w:eastAsia="Times New Roman" w:hAnsi="Arial" w:cs="Arial"/>
                <w:sz w:val="20"/>
                <w:szCs w:val="20"/>
                <w:lang w:eastAsia="ru-RU"/>
              </w:rPr>
            </w:pPr>
            <w:r w:rsidRPr="00546E78">
              <w:rPr>
                <w:rFonts w:ascii="Arial" w:eastAsia="Times New Roman" w:hAnsi="Arial" w:cs="Arial"/>
                <w:sz w:val="20"/>
                <w:szCs w:val="20"/>
                <w:lang w:eastAsia="ru-RU"/>
              </w:rPr>
              <w:t xml:space="preserve">    в </w:t>
            </w:r>
            <w:proofErr w:type="spellStart"/>
            <w:r w:rsidRPr="00546E78">
              <w:rPr>
                <w:rFonts w:ascii="Arial" w:eastAsia="Times New Roman" w:hAnsi="Arial" w:cs="Arial"/>
                <w:sz w:val="20"/>
                <w:szCs w:val="20"/>
                <w:lang w:eastAsia="ru-RU"/>
              </w:rPr>
              <w:t>т.ч</w:t>
            </w:r>
            <w:proofErr w:type="spellEnd"/>
            <w:r w:rsidRPr="00546E78">
              <w:rPr>
                <w:rFonts w:ascii="Arial" w:eastAsia="Times New Roman" w:hAnsi="Arial" w:cs="Arial"/>
                <w:sz w:val="20"/>
                <w:szCs w:val="20"/>
                <w:lang w:eastAsia="ru-RU"/>
              </w:rPr>
              <w:t>. производство кокса и нефтепродуктов</w:t>
            </w:r>
          </w:p>
        </w:tc>
        <w:tc>
          <w:tcPr>
            <w:tcW w:w="3040" w:type="dxa"/>
            <w:tcBorders>
              <w:top w:val="nil"/>
              <w:left w:val="nil"/>
              <w:bottom w:val="single" w:sz="4" w:space="0" w:color="auto"/>
              <w:right w:val="single" w:sz="4" w:space="0" w:color="auto"/>
            </w:tcBorders>
            <w:shd w:val="clear" w:color="000000" w:fill="C4BD97"/>
            <w:noWrap/>
            <w:vAlign w:val="center"/>
            <w:hideMark/>
          </w:tcPr>
          <w:p w14:paraId="70EE5A28" w14:textId="77777777" w:rsidR="006E4AC5" w:rsidRPr="00546E78" w:rsidRDefault="006E4AC5" w:rsidP="006E4AC5">
            <w:pPr>
              <w:spacing w:after="0" w:line="240" w:lineRule="auto"/>
              <w:jc w:val="center"/>
              <w:rPr>
                <w:rFonts w:ascii="Arial" w:eastAsia="Times New Roman" w:hAnsi="Arial" w:cs="Arial"/>
                <w:color w:val="000000"/>
                <w:sz w:val="20"/>
                <w:szCs w:val="20"/>
                <w:lang w:eastAsia="ru-RU"/>
              </w:rPr>
            </w:pPr>
            <w:r w:rsidRPr="00546E78">
              <w:rPr>
                <w:rFonts w:ascii="Arial" w:eastAsia="Times New Roman" w:hAnsi="Arial" w:cs="Arial"/>
                <w:color w:val="000000"/>
                <w:sz w:val="20"/>
                <w:szCs w:val="20"/>
                <w:lang w:eastAsia="ru-RU"/>
              </w:rPr>
              <w:t>Сырьев</w:t>
            </w:r>
            <w:r>
              <w:rPr>
                <w:rFonts w:ascii="Arial" w:eastAsia="Times New Roman" w:hAnsi="Arial" w:cs="Arial"/>
                <w:color w:val="000000"/>
                <w:sz w:val="20"/>
                <w:szCs w:val="20"/>
                <w:lang w:eastAsia="ru-RU"/>
              </w:rPr>
              <w:t>ой бизнес</w:t>
            </w:r>
          </w:p>
        </w:tc>
      </w:tr>
      <w:tr w:rsidR="006E4AC5" w:rsidRPr="00546E78" w14:paraId="6AFDB8D3" w14:textId="77777777" w:rsidTr="006E4AC5">
        <w:trPr>
          <w:trHeight w:val="375"/>
        </w:trPr>
        <w:tc>
          <w:tcPr>
            <w:tcW w:w="6980" w:type="dxa"/>
            <w:tcBorders>
              <w:top w:val="nil"/>
              <w:left w:val="single" w:sz="4" w:space="0" w:color="auto"/>
              <w:bottom w:val="single" w:sz="4" w:space="0" w:color="auto"/>
              <w:right w:val="single" w:sz="4" w:space="0" w:color="auto"/>
            </w:tcBorders>
            <w:shd w:val="clear" w:color="000000" w:fill="B1A0C7"/>
            <w:vAlign w:val="center"/>
            <w:hideMark/>
          </w:tcPr>
          <w:p w14:paraId="08F2F528" w14:textId="77777777" w:rsidR="006E4AC5" w:rsidRPr="00546E78" w:rsidRDefault="006E4AC5" w:rsidP="006E4AC5">
            <w:pPr>
              <w:spacing w:after="0" w:line="240" w:lineRule="auto"/>
              <w:rPr>
                <w:rFonts w:ascii="Arial" w:eastAsia="Times New Roman" w:hAnsi="Arial" w:cs="Arial"/>
                <w:sz w:val="20"/>
                <w:szCs w:val="20"/>
                <w:lang w:eastAsia="ru-RU"/>
              </w:rPr>
            </w:pPr>
            <w:r w:rsidRPr="00546E78">
              <w:rPr>
                <w:rFonts w:ascii="Arial" w:eastAsia="Times New Roman" w:hAnsi="Arial" w:cs="Arial"/>
                <w:sz w:val="20"/>
                <w:szCs w:val="20"/>
                <w:lang w:eastAsia="ru-RU"/>
              </w:rPr>
              <w:t>Е Производство и распределение электроэнергии, газа и воды</w:t>
            </w:r>
          </w:p>
        </w:tc>
        <w:tc>
          <w:tcPr>
            <w:tcW w:w="3040" w:type="dxa"/>
            <w:tcBorders>
              <w:top w:val="nil"/>
              <w:left w:val="nil"/>
              <w:bottom w:val="single" w:sz="4" w:space="0" w:color="auto"/>
              <w:right w:val="single" w:sz="4" w:space="0" w:color="auto"/>
            </w:tcBorders>
            <w:shd w:val="clear" w:color="000000" w:fill="B1A0C7"/>
            <w:noWrap/>
            <w:vAlign w:val="center"/>
            <w:hideMark/>
          </w:tcPr>
          <w:p w14:paraId="6BB3C79D" w14:textId="77777777" w:rsidR="006E4AC5" w:rsidRPr="00546E78" w:rsidRDefault="006E4AC5" w:rsidP="006E4AC5">
            <w:pPr>
              <w:spacing w:after="0" w:line="240" w:lineRule="auto"/>
              <w:jc w:val="center"/>
              <w:rPr>
                <w:rFonts w:ascii="Arial" w:eastAsia="Times New Roman" w:hAnsi="Arial" w:cs="Arial"/>
                <w:color w:val="000000"/>
                <w:sz w:val="20"/>
                <w:szCs w:val="20"/>
                <w:lang w:eastAsia="ru-RU"/>
              </w:rPr>
            </w:pPr>
            <w:r w:rsidRPr="00546E78">
              <w:rPr>
                <w:rFonts w:ascii="Arial" w:eastAsia="Times New Roman" w:hAnsi="Arial" w:cs="Arial"/>
                <w:color w:val="000000"/>
                <w:sz w:val="20"/>
                <w:szCs w:val="20"/>
                <w:lang w:eastAsia="ru-RU"/>
              </w:rPr>
              <w:t>Крупный</w:t>
            </w:r>
            <w:r>
              <w:rPr>
                <w:rFonts w:ascii="Arial" w:eastAsia="Times New Roman" w:hAnsi="Arial" w:cs="Arial"/>
                <w:color w:val="000000"/>
                <w:sz w:val="20"/>
                <w:szCs w:val="20"/>
                <w:lang w:eastAsia="ru-RU"/>
              </w:rPr>
              <w:t xml:space="preserve"> </w:t>
            </w:r>
            <w:proofErr w:type="spellStart"/>
            <w:r>
              <w:rPr>
                <w:rFonts w:ascii="Arial" w:eastAsia="Times New Roman" w:hAnsi="Arial" w:cs="Arial"/>
                <w:color w:val="000000"/>
                <w:sz w:val="20"/>
                <w:szCs w:val="20"/>
                <w:lang w:eastAsia="ru-RU"/>
              </w:rPr>
              <w:t>несырьевой</w:t>
            </w:r>
            <w:proofErr w:type="spellEnd"/>
            <w:r w:rsidRPr="00546E78">
              <w:rPr>
                <w:rFonts w:ascii="Arial" w:eastAsia="Times New Roman" w:hAnsi="Arial" w:cs="Arial"/>
                <w:color w:val="000000"/>
                <w:sz w:val="20"/>
                <w:szCs w:val="20"/>
                <w:lang w:eastAsia="ru-RU"/>
              </w:rPr>
              <w:t xml:space="preserve"> бизнес</w:t>
            </w:r>
          </w:p>
        </w:tc>
      </w:tr>
      <w:tr w:rsidR="006E4AC5" w:rsidRPr="00546E78" w14:paraId="62668BF8" w14:textId="77777777" w:rsidTr="006E4AC5">
        <w:trPr>
          <w:trHeight w:val="375"/>
        </w:trPr>
        <w:tc>
          <w:tcPr>
            <w:tcW w:w="6980" w:type="dxa"/>
            <w:tcBorders>
              <w:top w:val="nil"/>
              <w:left w:val="single" w:sz="4" w:space="0" w:color="auto"/>
              <w:bottom w:val="single" w:sz="4" w:space="0" w:color="auto"/>
              <w:right w:val="single" w:sz="4" w:space="0" w:color="auto"/>
            </w:tcBorders>
            <w:shd w:val="clear" w:color="000000" w:fill="B1A0C7"/>
            <w:vAlign w:val="center"/>
            <w:hideMark/>
          </w:tcPr>
          <w:p w14:paraId="22A86FD0" w14:textId="77777777" w:rsidR="006E4AC5" w:rsidRPr="00546E78" w:rsidRDefault="006E4AC5" w:rsidP="006E4AC5">
            <w:pPr>
              <w:spacing w:after="0" w:line="240" w:lineRule="auto"/>
              <w:rPr>
                <w:rFonts w:ascii="Arial" w:eastAsia="Times New Roman" w:hAnsi="Arial" w:cs="Arial"/>
                <w:sz w:val="20"/>
                <w:szCs w:val="20"/>
                <w:lang w:eastAsia="ru-RU"/>
              </w:rPr>
            </w:pPr>
            <w:r w:rsidRPr="00546E78">
              <w:rPr>
                <w:rFonts w:ascii="Arial" w:eastAsia="Times New Roman" w:hAnsi="Arial" w:cs="Arial"/>
                <w:sz w:val="20"/>
                <w:szCs w:val="20"/>
                <w:lang w:eastAsia="ru-RU"/>
              </w:rPr>
              <w:t>F Строительство</w:t>
            </w:r>
          </w:p>
        </w:tc>
        <w:tc>
          <w:tcPr>
            <w:tcW w:w="3040" w:type="dxa"/>
            <w:tcBorders>
              <w:top w:val="nil"/>
              <w:left w:val="nil"/>
              <w:bottom w:val="single" w:sz="4" w:space="0" w:color="auto"/>
              <w:right w:val="single" w:sz="4" w:space="0" w:color="auto"/>
            </w:tcBorders>
            <w:shd w:val="clear" w:color="000000" w:fill="B1A0C7"/>
            <w:noWrap/>
            <w:vAlign w:val="center"/>
            <w:hideMark/>
          </w:tcPr>
          <w:p w14:paraId="32D64D77" w14:textId="77777777" w:rsidR="006E4AC5" w:rsidRPr="00546E78" w:rsidRDefault="006E4AC5" w:rsidP="006E4AC5">
            <w:pPr>
              <w:spacing w:after="0" w:line="240" w:lineRule="auto"/>
              <w:jc w:val="center"/>
              <w:rPr>
                <w:rFonts w:ascii="Arial" w:eastAsia="Times New Roman" w:hAnsi="Arial" w:cs="Arial"/>
                <w:color w:val="000000"/>
                <w:sz w:val="20"/>
                <w:szCs w:val="20"/>
                <w:lang w:eastAsia="ru-RU"/>
              </w:rPr>
            </w:pPr>
            <w:r w:rsidRPr="00546E78">
              <w:rPr>
                <w:rFonts w:ascii="Arial" w:eastAsia="Times New Roman" w:hAnsi="Arial" w:cs="Arial"/>
                <w:color w:val="000000"/>
                <w:sz w:val="20"/>
                <w:szCs w:val="20"/>
                <w:lang w:eastAsia="ru-RU"/>
              </w:rPr>
              <w:t xml:space="preserve">Крупный </w:t>
            </w:r>
            <w:proofErr w:type="spellStart"/>
            <w:r>
              <w:rPr>
                <w:rFonts w:ascii="Arial" w:eastAsia="Times New Roman" w:hAnsi="Arial" w:cs="Arial"/>
                <w:color w:val="000000"/>
                <w:sz w:val="20"/>
                <w:szCs w:val="20"/>
                <w:lang w:eastAsia="ru-RU"/>
              </w:rPr>
              <w:t>несырьевой</w:t>
            </w:r>
            <w:proofErr w:type="spellEnd"/>
            <w:r>
              <w:rPr>
                <w:rFonts w:ascii="Arial" w:eastAsia="Times New Roman" w:hAnsi="Arial" w:cs="Arial"/>
                <w:color w:val="000000"/>
                <w:sz w:val="20"/>
                <w:szCs w:val="20"/>
                <w:lang w:eastAsia="ru-RU"/>
              </w:rPr>
              <w:t xml:space="preserve"> </w:t>
            </w:r>
            <w:r w:rsidRPr="00546E78">
              <w:rPr>
                <w:rFonts w:ascii="Arial" w:eastAsia="Times New Roman" w:hAnsi="Arial" w:cs="Arial"/>
                <w:color w:val="000000"/>
                <w:sz w:val="20"/>
                <w:szCs w:val="20"/>
                <w:lang w:eastAsia="ru-RU"/>
              </w:rPr>
              <w:t>бизнес</w:t>
            </w:r>
          </w:p>
        </w:tc>
      </w:tr>
      <w:tr w:rsidR="006E4AC5" w:rsidRPr="00546E78" w14:paraId="7F8917E9" w14:textId="77777777" w:rsidTr="006E4AC5">
        <w:trPr>
          <w:trHeight w:val="375"/>
        </w:trPr>
        <w:tc>
          <w:tcPr>
            <w:tcW w:w="6980" w:type="dxa"/>
            <w:tcBorders>
              <w:top w:val="nil"/>
              <w:left w:val="single" w:sz="4" w:space="0" w:color="auto"/>
              <w:bottom w:val="single" w:sz="4" w:space="0" w:color="auto"/>
              <w:right w:val="single" w:sz="4" w:space="0" w:color="auto"/>
            </w:tcBorders>
            <w:shd w:val="clear" w:color="000000" w:fill="DCE6F1"/>
            <w:vAlign w:val="center"/>
            <w:hideMark/>
          </w:tcPr>
          <w:p w14:paraId="13149CB6" w14:textId="77777777" w:rsidR="006E4AC5" w:rsidRPr="00546E78" w:rsidRDefault="006E4AC5" w:rsidP="006E4AC5">
            <w:pPr>
              <w:spacing w:after="0" w:line="240" w:lineRule="auto"/>
              <w:rPr>
                <w:rFonts w:ascii="Arial" w:eastAsia="Times New Roman" w:hAnsi="Arial" w:cs="Arial"/>
                <w:sz w:val="20"/>
                <w:szCs w:val="20"/>
                <w:lang w:eastAsia="ru-RU"/>
              </w:rPr>
            </w:pPr>
            <w:r w:rsidRPr="00546E78">
              <w:rPr>
                <w:rFonts w:ascii="Arial" w:eastAsia="Times New Roman" w:hAnsi="Arial" w:cs="Arial"/>
                <w:sz w:val="20"/>
                <w:szCs w:val="20"/>
                <w:lang w:eastAsia="ru-RU"/>
              </w:rPr>
              <w:t>G Оптовая и розничная торговля</w:t>
            </w:r>
          </w:p>
        </w:tc>
        <w:tc>
          <w:tcPr>
            <w:tcW w:w="3040" w:type="dxa"/>
            <w:tcBorders>
              <w:top w:val="nil"/>
              <w:left w:val="nil"/>
              <w:bottom w:val="single" w:sz="4" w:space="0" w:color="auto"/>
              <w:right w:val="single" w:sz="4" w:space="0" w:color="auto"/>
            </w:tcBorders>
            <w:shd w:val="clear" w:color="000000" w:fill="DCE6F1"/>
            <w:noWrap/>
            <w:vAlign w:val="center"/>
            <w:hideMark/>
          </w:tcPr>
          <w:p w14:paraId="18CCB003" w14:textId="77777777" w:rsidR="006E4AC5" w:rsidRPr="00546E78" w:rsidRDefault="006E4AC5" w:rsidP="006E4AC5">
            <w:pPr>
              <w:spacing w:after="0" w:line="240" w:lineRule="auto"/>
              <w:jc w:val="center"/>
              <w:rPr>
                <w:rFonts w:ascii="Arial" w:eastAsia="Times New Roman" w:hAnsi="Arial" w:cs="Arial"/>
                <w:color w:val="000000"/>
                <w:sz w:val="20"/>
                <w:szCs w:val="20"/>
                <w:lang w:eastAsia="ru-RU"/>
              </w:rPr>
            </w:pPr>
            <w:r w:rsidRPr="00546E78">
              <w:rPr>
                <w:rFonts w:ascii="Arial" w:eastAsia="Times New Roman" w:hAnsi="Arial" w:cs="Arial"/>
                <w:color w:val="000000"/>
                <w:sz w:val="20"/>
                <w:szCs w:val="20"/>
                <w:lang w:eastAsia="ru-RU"/>
              </w:rPr>
              <w:t xml:space="preserve">Малый и средний </w:t>
            </w:r>
            <w:proofErr w:type="spellStart"/>
            <w:r>
              <w:rPr>
                <w:rFonts w:ascii="Arial" w:eastAsia="Times New Roman" w:hAnsi="Arial" w:cs="Arial"/>
                <w:color w:val="000000"/>
                <w:sz w:val="20"/>
                <w:szCs w:val="20"/>
                <w:lang w:eastAsia="ru-RU"/>
              </w:rPr>
              <w:t>несырьевой</w:t>
            </w:r>
            <w:proofErr w:type="spellEnd"/>
            <w:r>
              <w:rPr>
                <w:rFonts w:ascii="Arial" w:eastAsia="Times New Roman" w:hAnsi="Arial" w:cs="Arial"/>
                <w:color w:val="000000"/>
                <w:sz w:val="20"/>
                <w:szCs w:val="20"/>
                <w:lang w:eastAsia="ru-RU"/>
              </w:rPr>
              <w:t xml:space="preserve"> </w:t>
            </w:r>
            <w:r w:rsidRPr="00546E78">
              <w:rPr>
                <w:rFonts w:ascii="Arial" w:eastAsia="Times New Roman" w:hAnsi="Arial" w:cs="Arial"/>
                <w:color w:val="000000"/>
                <w:sz w:val="20"/>
                <w:szCs w:val="20"/>
                <w:lang w:eastAsia="ru-RU"/>
              </w:rPr>
              <w:t>бизнес</w:t>
            </w:r>
          </w:p>
        </w:tc>
      </w:tr>
      <w:tr w:rsidR="006E4AC5" w:rsidRPr="00546E78" w14:paraId="0E5C9816" w14:textId="77777777" w:rsidTr="006E4AC5">
        <w:trPr>
          <w:trHeight w:val="375"/>
        </w:trPr>
        <w:tc>
          <w:tcPr>
            <w:tcW w:w="6980" w:type="dxa"/>
            <w:tcBorders>
              <w:top w:val="nil"/>
              <w:left w:val="single" w:sz="4" w:space="0" w:color="auto"/>
              <w:bottom w:val="single" w:sz="4" w:space="0" w:color="auto"/>
              <w:right w:val="single" w:sz="4" w:space="0" w:color="auto"/>
            </w:tcBorders>
            <w:shd w:val="clear" w:color="000000" w:fill="C4BD97"/>
            <w:vAlign w:val="center"/>
            <w:hideMark/>
          </w:tcPr>
          <w:p w14:paraId="49674805" w14:textId="77777777" w:rsidR="006E4AC5" w:rsidRPr="00546E78" w:rsidRDefault="006E4AC5" w:rsidP="006E4AC5">
            <w:pPr>
              <w:spacing w:after="0" w:line="240" w:lineRule="auto"/>
              <w:rPr>
                <w:rFonts w:ascii="Arial" w:eastAsia="Times New Roman" w:hAnsi="Arial" w:cs="Arial"/>
                <w:sz w:val="20"/>
                <w:szCs w:val="20"/>
                <w:lang w:eastAsia="ru-RU"/>
              </w:rPr>
            </w:pPr>
            <w:r w:rsidRPr="00546E78">
              <w:rPr>
                <w:rFonts w:ascii="Arial" w:eastAsia="Times New Roman" w:hAnsi="Arial" w:cs="Arial"/>
                <w:sz w:val="20"/>
                <w:szCs w:val="20"/>
                <w:lang w:eastAsia="ru-RU"/>
              </w:rPr>
              <w:t xml:space="preserve">    в </w:t>
            </w:r>
            <w:proofErr w:type="spellStart"/>
            <w:r w:rsidRPr="00546E78">
              <w:rPr>
                <w:rFonts w:ascii="Arial" w:eastAsia="Times New Roman" w:hAnsi="Arial" w:cs="Arial"/>
                <w:sz w:val="20"/>
                <w:szCs w:val="20"/>
                <w:lang w:eastAsia="ru-RU"/>
              </w:rPr>
              <w:t>т.ч</w:t>
            </w:r>
            <w:proofErr w:type="spellEnd"/>
            <w:r w:rsidRPr="00546E78">
              <w:rPr>
                <w:rFonts w:ascii="Arial" w:eastAsia="Times New Roman" w:hAnsi="Arial" w:cs="Arial"/>
                <w:sz w:val="20"/>
                <w:szCs w:val="20"/>
                <w:lang w:eastAsia="ru-RU"/>
              </w:rPr>
              <w:t>. оптовая торговля топливом</w:t>
            </w:r>
          </w:p>
        </w:tc>
        <w:tc>
          <w:tcPr>
            <w:tcW w:w="3040" w:type="dxa"/>
            <w:tcBorders>
              <w:top w:val="nil"/>
              <w:left w:val="nil"/>
              <w:bottom w:val="single" w:sz="4" w:space="0" w:color="auto"/>
              <w:right w:val="single" w:sz="4" w:space="0" w:color="auto"/>
            </w:tcBorders>
            <w:shd w:val="clear" w:color="000000" w:fill="C4BD97"/>
            <w:noWrap/>
            <w:vAlign w:val="center"/>
            <w:hideMark/>
          </w:tcPr>
          <w:p w14:paraId="1A42C3C2" w14:textId="77777777" w:rsidR="006E4AC5" w:rsidRPr="00546E78" w:rsidRDefault="006E4AC5" w:rsidP="006E4AC5">
            <w:pPr>
              <w:spacing w:after="0" w:line="240" w:lineRule="auto"/>
              <w:jc w:val="center"/>
              <w:rPr>
                <w:rFonts w:ascii="Arial" w:eastAsia="Times New Roman" w:hAnsi="Arial" w:cs="Arial"/>
                <w:color w:val="000000"/>
                <w:sz w:val="20"/>
                <w:szCs w:val="20"/>
                <w:lang w:eastAsia="ru-RU"/>
              </w:rPr>
            </w:pPr>
            <w:r w:rsidRPr="00546E78">
              <w:rPr>
                <w:rFonts w:ascii="Arial" w:eastAsia="Times New Roman" w:hAnsi="Arial" w:cs="Arial"/>
                <w:color w:val="000000"/>
                <w:sz w:val="20"/>
                <w:szCs w:val="20"/>
                <w:lang w:eastAsia="ru-RU"/>
              </w:rPr>
              <w:t>Сырьев</w:t>
            </w:r>
            <w:r>
              <w:rPr>
                <w:rFonts w:ascii="Arial" w:eastAsia="Times New Roman" w:hAnsi="Arial" w:cs="Arial"/>
                <w:color w:val="000000"/>
                <w:sz w:val="20"/>
                <w:szCs w:val="20"/>
                <w:lang w:eastAsia="ru-RU"/>
              </w:rPr>
              <w:t>ой бизнес</w:t>
            </w:r>
          </w:p>
        </w:tc>
      </w:tr>
      <w:tr w:rsidR="006E4AC5" w:rsidRPr="00546E78" w14:paraId="6F568F2F" w14:textId="77777777" w:rsidTr="006E4AC5">
        <w:trPr>
          <w:trHeight w:val="375"/>
        </w:trPr>
        <w:tc>
          <w:tcPr>
            <w:tcW w:w="6980" w:type="dxa"/>
            <w:tcBorders>
              <w:top w:val="nil"/>
              <w:left w:val="single" w:sz="4" w:space="0" w:color="auto"/>
              <w:bottom w:val="single" w:sz="4" w:space="0" w:color="auto"/>
              <w:right w:val="single" w:sz="4" w:space="0" w:color="auto"/>
            </w:tcBorders>
            <w:shd w:val="clear" w:color="000000" w:fill="DCE6F1"/>
            <w:vAlign w:val="center"/>
            <w:hideMark/>
          </w:tcPr>
          <w:p w14:paraId="114336B9" w14:textId="77777777" w:rsidR="006E4AC5" w:rsidRPr="00546E78" w:rsidRDefault="006E4AC5" w:rsidP="006E4AC5">
            <w:pPr>
              <w:spacing w:after="0" w:line="240" w:lineRule="auto"/>
              <w:rPr>
                <w:rFonts w:ascii="Arial" w:eastAsia="Times New Roman" w:hAnsi="Arial" w:cs="Arial"/>
                <w:sz w:val="20"/>
                <w:szCs w:val="20"/>
                <w:lang w:eastAsia="ru-RU"/>
              </w:rPr>
            </w:pPr>
            <w:r w:rsidRPr="00546E78">
              <w:rPr>
                <w:rFonts w:ascii="Arial" w:eastAsia="Times New Roman" w:hAnsi="Arial" w:cs="Arial"/>
                <w:sz w:val="20"/>
                <w:szCs w:val="20"/>
                <w:lang w:eastAsia="ru-RU"/>
              </w:rPr>
              <w:t>Н Гостиницы и рестораны</w:t>
            </w:r>
          </w:p>
        </w:tc>
        <w:tc>
          <w:tcPr>
            <w:tcW w:w="3040" w:type="dxa"/>
            <w:tcBorders>
              <w:top w:val="nil"/>
              <w:left w:val="nil"/>
              <w:bottom w:val="single" w:sz="4" w:space="0" w:color="auto"/>
              <w:right w:val="single" w:sz="4" w:space="0" w:color="auto"/>
            </w:tcBorders>
            <w:shd w:val="clear" w:color="000000" w:fill="DCE6F1"/>
            <w:noWrap/>
            <w:vAlign w:val="center"/>
            <w:hideMark/>
          </w:tcPr>
          <w:p w14:paraId="5A97098F" w14:textId="77777777" w:rsidR="006E4AC5" w:rsidRPr="00546E78" w:rsidRDefault="006E4AC5" w:rsidP="006E4AC5">
            <w:pPr>
              <w:spacing w:after="0" w:line="240" w:lineRule="auto"/>
              <w:jc w:val="center"/>
              <w:rPr>
                <w:rFonts w:ascii="Arial" w:eastAsia="Times New Roman" w:hAnsi="Arial" w:cs="Arial"/>
                <w:color w:val="000000"/>
                <w:sz w:val="20"/>
                <w:szCs w:val="20"/>
                <w:lang w:eastAsia="ru-RU"/>
              </w:rPr>
            </w:pPr>
            <w:r w:rsidRPr="00546E78">
              <w:rPr>
                <w:rFonts w:ascii="Arial" w:eastAsia="Times New Roman" w:hAnsi="Arial" w:cs="Arial"/>
                <w:color w:val="000000"/>
                <w:sz w:val="20"/>
                <w:szCs w:val="20"/>
                <w:lang w:eastAsia="ru-RU"/>
              </w:rPr>
              <w:t xml:space="preserve">Малый и средний </w:t>
            </w:r>
            <w:proofErr w:type="spellStart"/>
            <w:r>
              <w:rPr>
                <w:rFonts w:ascii="Arial" w:eastAsia="Times New Roman" w:hAnsi="Arial" w:cs="Arial"/>
                <w:color w:val="000000"/>
                <w:sz w:val="20"/>
                <w:szCs w:val="20"/>
                <w:lang w:eastAsia="ru-RU"/>
              </w:rPr>
              <w:t>несырьевой</w:t>
            </w:r>
            <w:proofErr w:type="spellEnd"/>
            <w:r>
              <w:rPr>
                <w:rFonts w:ascii="Arial" w:eastAsia="Times New Roman" w:hAnsi="Arial" w:cs="Arial"/>
                <w:color w:val="000000"/>
                <w:sz w:val="20"/>
                <w:szCs w:val="20"/>
                <w:lang w:eastAsia="ru-RU"/>
              </w:rPr>
              <w:t xml:space="preserve"> </w:t>
            </w:r>
            <w:r w:rsidRPr="00546E78">
              <w:rPr>
                <w:rFonts w:ascii="Arial" w:eastAsia="Times New Roman" w:hAnsi="Arial" w:cs="Arial"/>
                <w:color w:val="000000"/>
                <w:sz w:val="20"/>
                <w:szCs w:val="20"/>
                <w:lang w:eastAsia="ru-RU"/>
              </w:rPr>
              <w:t>бизнес</w:t>
            </w:r>
          </w:p>
        </w:tc>
      </w:tr>
      <w:tr w:rsidR="006E4AC5" w:rsidRPr="00546E78" w14:paraId="0CE991C7" w14:textId="77777777" w:rsidTr="006E4AC5">
        <w:trPr>
          <w:trHeight w:val="375"/>
        </w:trPr>
        <w:tc>
          <w:tcPr>
            <w:tcW w:w="6980" w:type="dxa"/>
            <w:tcBorders>
              <w:top w:val="nil"/>
              <w:left w:val="single" w:sz="4" w:space="0" w:color="auto"/>
              <w:bottom w:val="single" w:sz="4" w:space="0" w:color="auto"/>
              <w:right w:val="single" w:sz="4" w:space="0" w:color="auto"/>
            </w:tcBorders>
            <w:shd w:val="clear" w:color="000000" w:fill="B1A0C7"/>
            <w:vAlign w:val="center"/>
            <w:hideMark/>
          </w:tcPr>
          <w:p w14:paraId="66BFEEEA" w14:textId="77777777" w:rsidR="006E4AC5" w:rsidRPr="00546E78" w:rsidRDefault="006E4AC5" w:rsidP="006E4AC5">
            <w:pPr>
              <w:spacing w:after="0" w:line="240" w:lineRule="auto"/>
              <w:rPr>
                <w:rFonts w:ascii="Arial" w:eastAsia="Times New Roman" w:hAnsi="Arial" w:cs="Arial"/>
                <w:sz w:val="20"/>
                <w:szCs w:val="20"/>
                <w:lang w:eastAsia="ru-RU"/>
              </w:rPr>
            </w:pPr>
            <w:r w:rsidRPr="00546E78">
              <w:rPr>
                <w:rFonts w:ascii="Arial" w:eastAsia="Times New Roman" w:hAnsi="Arial" w:cs="Arial"/>
                <w:sz w:val="20"/>
                <w:szCs w:val="20"/>
                <w:lang w:eastAsia="ru-RU"/>
              </w:rPr>
              <w:t>I Транспорт и связь</w:t>
            </w:r>
          </w:p>
        </w:tc>
        <w:tc>
          <w:tcPr>
            <w:tcW w:w="3040" w:type="dxa"/>
            <w:tcBorders>
              <w:top w:val="nil"/>
              <w:left w:val="nil"/>
              <w:bottom w:val="single" w:sz="4" w:space="0" w:color="auto"/>
              <w:right w:val="single" w:sz="4" w:space="0" w:color="auto"/>
            </w:tcBorders>
            <w:shd w:val="clear" w:color="000000" w:fill="B1A0C7"/>
            <w:noWrap/>
            <w:vAlign w:val="center"/>
            <w:hideMark/>
          </w:tcPr>
          <w:p w14:paraId="6C3D7620" w14:textId="77777777" w:rsidR="006E4AC5" w:rsidRPr="00546E78" w:rsidRDefault="006E4AC5" w:rsidP="006E4AC5">
            <w:pPr>
              <w:spacing w:after="0" w:line="240" w:lineRule="auto"/>
              <w:jc w:val="center"/>
              <w:rPr>
                <w:rFonts w:ascii="Arial" w:eastAsia="Times New Roman" w:hAnsi="Arial" w:cs="Arial"/>
                <w:color w:val="000000"/>
                <w:sz w:val="20"/>
                <w:szCs w:val="20"/>
                <w:lang w:eastAsia="ru-RU"/>
              </w:rPr>
            </w:pPr>
            <w:r w:rsidRPr="00546E78">
              <w:rPr>
                <w:rFonts w:ascii="Arial" w:eastAsia="Times New Roman" w:hAnsi="Arial" w:cs="Arial"/>
                <w:color w:val="000000"/>
                <w:sz w:val="20"/>
                <w:szCs w:val="20"/>
                <w:lang w:eastAsia="ru-RU"/>
              </w:rPr>
              <w:t>Крупный</w:t>
            </w:r>
            <w:r>
              <w:rPr>
                <w:rFonts w:ascii="Arial" w:eastAsia="Times New Roman" w:hAnsi="Arial" w:cs="Arial"/>
                <w:color w:val="000000"/>
                <w:sz w:val="20"/>
                <w:szCs w:val="20"/>
                <w:lang w:eastAsia="ru-RU"/>
              </w:rPr>
              <w:t xml:space="preserve"> </w:t>
            </w:r>
            <w:proofErr w:type="spellStart"/>
            <w:r>
              <w:rPr>
                <w:rFonts w:ascii="Arial" w:eastAsia="Times New Roman" w:hAnsi="Arial" w:cs="Arial"/>
                <w:color w:val="000000"/>
                <w:sz w:val="20"/>
                <w:szCs w:val="20"/>
                <w:lang w:eastAsia="ru-RU"/>
              </w:rPr>
              <w:t>несырьевой</w:t>
            </w:r>
            <w:proofErr w:type="spellEnd"/>
            <w:r w:rsidRPr="00546E78">
              <w:rPr>
                <w:rFonts w:ascii="Arial" w:eastAsia="Times New Roman" w:hAnsi="Arial" w:cs="Arial"/>
                <w:color w:val="000000"/>
                <w:sz w:val="20"/>
                <w:szCs w:val="20"/>
                <w:lang w:eastAsia="ru-RU"/>
              </w:rPr>
              <w:t xml:space="preserve"> бизнес</w:t>
            </w:r>
          </w:p>
        </w:tc>
      </w:tr>
      <w:tr w:rsidR="006E4AC5" w:rsidRPr="00546E78" w14:paraId="47036F95" w14:textId="77777777" w:rsidTr="006E4AC5">
        <w:trPr>
          <w:trHeight w:val="375"/>
        </w:trPr>
        <w:tc>
          <w:tcPr>
            <w:tcW w:w="6980" w:type="dxa"/>
            <w:tcBorders>
              <w:top w:val="nil"/>
              <w:left w:val="single" w:sz="4" w:space="0" w:color="auto"/>
              <w:bottom w:val="single" w:sz="4" w:space="0" w:color="auto"/>
              <w:right w:val="single" w:sz="4" w:space="0" w:color="auto"/>
            </w:tcBorders>
            <w:shd w:val="clear" w:color="000000" w:fill="C4BD97"/>
            <w:vAlign w:val="center"/>
            <w:hideMark/>
          </w:tcPr>
          <w:p w14:paraId="778A4559" w14:textId="77777777" w:rsidR="006E4AC5" w:rsidRPr="00546E78" w:rsidRDefault="006E4AC5" w:rsidP="006E4AC5">
            <w:pPr>
              <w:spacing w:after="0" w:line="240" w:lineRule="auto"/>
              <w:rPr>
                <w:rFonts w:ascii="Arial" w:eastAsia="Times New Roman" w:hAnsi="Arial" w:cs="Arial"/>
                <w:sz w:val="20"/>
                <w:szCs w:val="20"/>
                <w:lang w:eastAsia="ru-RU"/>
              </w:rPr>
            </w:pPr>
            <w:r w:rsidRPr="00546E78">
              <w:rPr>
                <w:rFonts w:ascii="Arial" w:eastAsia="Times New Roman" w:hAnsi="Arial" w:cs="Arial"/>
                <w:sz w:val="20"/>
                <w:szCs w:val="20"/>
                <w:lang w:eastAsia="ru-RU"/>
              </w:rPr>
              <w:t xml:space="preserve">    в </w:t>
            </w:r>
            <w:proofErr w:type="spellStart"/>
            <w:r w:rsidRPr="00546E78">
              <w:rPr>
                <w:rFonts w:ascii="Arial" w:eastAsia="Times New Roman" w:hAnsi="Arial" w:cs="Arial"/>
                <w:sz w:val="20"/>
                <w:szCs w:val="20"/>
                <w:lang w:eastAsia="ru-RU"/>
              </w:rPr>
              <w:t>т.ч</w:t>
            </w:r>
            <w:proofErr w:type="spellEnd"/>
            <w:r w:rsidRPr="00546E78">
              <w:rPr>
                <w:rFonts w:ascii="Arial" w:eastAsia="Times New Roman" w:hAnsi="Arial" w:cs="Arial"/>
                <w:sz w:val="20"/>
                <w:szCs w:val="20"/>
                <w:lang w:eastAsia="ru-RU"/>
              </w:rPr>
              <w:t>. транспортирование по трубопроводам</w:t>
            </w:r>
          </w:p>
        </w:tc>
        <w:tc>
          <w:tcPr>
            <w:tcW w:w="3040" w:type="dxa"/>
            <w:tcBorders>
              <w:top w:val="nil"/>
              <w:left w:val="nil"/>
              <w:bottom w:val="single" w:sz="4" w:space="0" w:color="auto"/>
              <w:right w:val="single" w:sz="4" w:space="0" w:color="auto"/>
            </w:tcBorders>
            <w:shd w:val="clear" w:color="000000" w:fill="C4BD97"/>
            <w:noWrap/>
            <w:vAlign w:val="center"/>
            <w:hideMark/>
          </w:tcPr>
          <w:p w14:paraId="0E93612B" w14:textId="77777777" w:rsidR="006E4AC5" w:rsidRPr="00546E78" w:rsidRDefault="006E4AC5" w:rsidP="006E4AC5">
            <w:pPr>
              <w:spacing w:after="0" w:line="240" w:lineRule="auto"/>
              <w:jc w:val="center"/>
              <w:rPr>
                <w:rFonts w:ascii="Arial" w:eastAsia="Times New Roman" w:hAnsi="Arial" w:cs="Arial"/>
                <w:color w:val="000000"/>
                <w:sz w:val="20"/>
                <w:szCs w:val="20"/>
                <w:lang w:eastAsia="ru-RU"/>
              </w:rPr>
            </w:pPr>
            <w:r w:rsidRPr="00546E78">
              <w:rPr>
                <w:rFonts w:ascii="Arial" w:eastAsia="Times New Roman" w:hAnsi="Arial" w:cs="Arial"/>
                <w:color w:val="000000"/>
                <w:sz w:val="20"/>
                <w:szCs w:val="20"/>
                <w:lang w:eastAsia="ru-RU"/>
              </w:rPr>
              <w:t>Сырьев</w:t>
            </w:r>
            <w:r>
              <w:rPr>
                <w:rFonts w:ascii="Arial" w:eastAsia="Times New Roman" w:hAnsi="Arial" w:cs="Arial"/>
                <w:color w:val="000000"/>
                <w:sz w:val="20"/>
                <w:szCs w:val="20"/>
                <w:lang w:eastAsia="ru-RU"/>
              </w:rPr>
              <w:t>ой бизнес</w:t>
            </w:r>
          </w:p>
        </w:tc>
      </w:tr>
      <w:tr w:rsidR="006E4AC5" w:rsidRPr="00546E78" w14:paraId="36251296" w14:textId="77777777" w:rsidTr="006E4AC5">
        <w:trPr>
          <w:trHeight w:val="375"/>
        </w:trPr>
        <w:tc>
          <w:tcPr>
            <w:tcW w:w="6980" w:type="dxa"/>
            <w:tcBorders>
              <w:top w:val="nil"/>
              <w:left w:val="single" w:sz="4" w:space="0" w:color="auto"/>
              <w:bottom w:val="single" w:sz="4" w:space="0" w:color="auto"/>
              <w:right w:val="single" w:sz="4" w:space="0" w:color="auto"/>
            </w:tcBorders>
            <w:shd w:val="clear" w:color="000000" w:fill="B1A0C7"/>
            <w:vAlign w:val="center"/>
            <w:hideMark/>
          </w:tcPr>
          <w:p w14:paraId="69DC9379" w14:textId="77777777" w:rsidR="006E4AC5" w:rsidRPr="00546E78" w:rsidRDefault="006E4AC5" w:rsidP="006E4AC5">
            <w:pPr>
              <w:spacing w:after="0" w:line="240" w:lineRule="auto"/>
              <w:rPr>
                <w:rFonts w:ascii="Arial" w:eastAsia="Times New Roman" w:hAnsi="Arial" w:cs="Arial"/>
                <w:sz w:val="20"/>
                <w:szCs w:val="20"/>
                <w:lang w:eastAsia="ru-RU"/>
              </w:rPr>
            </w:pPr>
            <w:r w:rsidRPr="00546E78">
              <w:rPr>
                <w:rFonts w:ascii="Arial" w:eastAsia="Times New Roman" w:hAnsi="Arial" w:cs="Arial"/>
                <w:sz w:val="20"/>
                <w:szCs w:val="20"/>
                <w:lang w:eastAsia="ru-RU"/>
              </w:rPr>
              <w:t>J Финансовая деятельность</w:t>
            </w:r>
          </w:p>
        </w:tc>
        <w:tc>
          <w:tcPr>
            <w:tcW w:w="3040" w:type="dxa"/>
            <w:tcBorders>
              <w:top w:val="nil"/>
              <w:left w:val="nil"/>
              <w:bottom w:val="single" w:sz="4" w:space="0" w:color="auto"/>
              <w:right w:val="single" w:sz="4" w:space="0" w:color="auto"/>
            </w:tcBorders>
            <w:shd w:val="clear" w:color="000000" w:fill="B1A0C7"/>
            <w:noWrap/>
            <w:vAlign w:val="center"/>
            <w:hideMark/>
          </w:tcPr>
          <w:p w14:paraId="4E127BD2" w14:textId="77777777" w:rsidR="006E4AC5" w:rsidRPr="00546E78" w:rsidRDefault="006E4AC5" w:rsidP="006E4AC5">
            <w:pPr>
              <w:spacing w:after="0" w:line="240" w:lineRule="auto"/>
              <w:jc w:val="center"/>
              <w:rPr>
                <w:rFonts w:ascii="Arial" w:eastAsia="Times New Roman" w:hAnsi="Arial" w:cs="Arial"/>
                <w:color w:val="000000"/>
                <w:sz w:val="20"/>
                <w:szCs w:val="20"/>
                <w:lang w:eastAsia="ru-RU"/>
              </w:rPr>
            </w:pPr>
            <w:r w:rsidRPr="00546E78">
              <w:rPr>
                <w:rFonts w:ascii="Arial" w:eastAsia="Times New Roman" w:hAnsi="Arial" w:cs="Arial"/>
                <w:color w:val="000000"/>
                <w:sz w:val="20"/>
                <w:szCs w:val="20"/>
                <w:lang w:eastAsia="ru-RU"/>
              </w:rPr>
              <w:t xml:space="preserve">Крупный </w:t>
            </w:r>
            <w:proofErr w:type="spellStart"/>
            <w:r>
              <w:rPr>
                <w:rFonts w:ascii="Arial" w:eastAsia="Times New Roman" w:hAnsi="Arial" w:cs="Arial"/>
                <w:color w:val="000000"/>
                <w:sz w:val="20"/>
                <w:szCs w:val="20"/>
                <w:lang w:eastAsia="ru-RU"/>
              </w:rPr>
              <w:t>несырьевой</w:t>
            </w:r>
            <w:proofErr w:type="spellEnd"/>
            <w:r>
              <w:rPr>
                <w:rFonts w:ascii="Arial" w:eastAsia="Times New Roman" w:hAnsi="Arial" w:cs="Arial"/>
                <w:color w:val="000000"/>
                <w:sz w:val="20"/>
                <w:szCs w:val="20"/>
                <w:lang w:eastAsia="ru-RU"/>
              </w:rPr>
              <w:t xml:space="preserve"> </w:t>
            </w:r>
            <w:r w:rsidRPr="00546E78">
              <w:rPr>
                <w:rFonts w:ascii="Arial" w:eastAsia="Times New Roman" w:hAnsi="Arial" w:cs="Arial"/>
                <w:color w:val="000000"/>
                <w:sz w:val="20"/>
                <w:szCs w:val="20"/>
                <w:lang w:eastAsia="ru-RU"/>
              </w:rPr>
              <w:t>бизнес</w:t>
            </w:r>
          </w:p>
        </w:tc>
      </w:tr>
      <w:tr w:rsidR="006E4AC5" w:rsidRPr="00546E78" w14:paraId="4870087D" w14:textId="77777777" w:rsidTr="006E4AC5">
        <w:trPr>
          <w:trHeight w:val="375"/>
        </w:trPr>
        <w:tc>
          <w:tcPr>
            <w:tcW w:w="6980" w:type="dxa"/>
            <w:tcBorders>
              <w:top w:val="nil"/>
              <w:left w:val="single" w:sz="4" w:space="0" w:color="auto"/>
              <w:bottom w:val="single" w:sz="4" w:space="0" w:color="auto"/>
              <w:right w:val="single" w:sz="4" w:space="0" w:color="auto"/>
            </w:tcBorders>
            <w:shd w:val="clear" w:color="000000" w:fill="DCE6F1"/>
            <w:vAlign w:val="center"/>
            <w:hideMark/>
          </w:tcPr>
          <w:p w14:paraId="4746E287" w14:textId="77777777" w:rsidR="006E4AC5" w:rsidRPr="00546E78" w:rsidRDefault="006E4AC5" w:rsidP="006E4AC5">
            <w:pPr>
              <w:spacing w:after="0" w:line="240" w:lineRule="auto"/>
              <w:rPr>
                <w:rFonts w:ascii="Arial" w:eastAsia="Times New Roman" w:hAnsi="Arial" w:cs="Arial"/>
                <w:sz w:val="20"/>
                <w:szCs w:val="20"/>
                <w:lang w:eastAsia="ru-RU"/>
              </w:rPr>
            </w:pPr>
            <w:r w:rsidRPr="00546E78">
              <w:rPr>
                <w:rFonts w:ascii="Arial" w:eastAsia="Times New Roman" w:hAnsi="Arial" w:cs="Arial"/>
                <w:sz w:val="20"/>
                <w:szCs w:val="20"/>
                <w:lang w:eastAsia="ru-RU"/>
              </w:rPr>
              <w:t>K Операции с недвижимым имуществом, аренда и предоставление услуг</w:t>
            </w:r>
          </w:p>
        </w:tc>
        <w:tc>
          <w:tcPr>
            <w:tcW w:w="3040" w:type="dxa"/>
            <w:tcBorders>
              <w:top w:val="nil"/>
              <w:left w:val="nil"/>
              <w:bottom w:val="single" w:sz="4" w:space="0" w:color="auto"/>
              <w:right w:val="single" w:sz="4" w:space="0" w:color="auto"/>
            </w:tcBorders>
            <w:shd w:val="clear" w:color="000000" w:fill="DCE6F1"/>
            <w:noWrap/>
            <w:vAlign w:val="center"/>
            <w:hideMark/>
          </w:tcPr>
          <w:p w14:paraId="056D2D50" w14:textId="77777777" w:rsidR="006E4AC5" w:rsidRPr="00546E78" w:rsidRDefault="006E4AC5" w:rsidP="006E4AC5">
            <w:pPr>
              <w:spacing w:after="0" w:line="240" w:lineRule="auto"/>
              <w:jc w:val="center"/>
              <w:rPr>
                <w:rFonts w:ascii="Arial" w:eastAsia="Times New Roman" w:hAnsi="Arial" w:cs="Arial"/>
                <w:color w:val="000000"/>
                <w:sz w:val="20"/>
                <w:szCs w:val="20"/>
                <w:lang w:eastAsia="ru-RU"/>
              </w:rPr>
            </w:pPr>
            <w:r w:rsidRPr="00546E78">
              <w:rPr>
                <w:rFonts w:ascii="Arial" w:eastAsia="Times New Roman" w:hAnsi="Arial" w:cs="Arial"/>
                <w:color w:val="000000"/>
                <w:sz w:val="20"/>
                <w:szCs w:val="20"/>
                <w:lang w:eastAsia="ru-RU"/>
              </w:rPr>
              <w:t xml:space="preserve">Малый и средний </w:t>
            </w:r>
            <w:proofErr w:type="spellStart"/>
            <w:r>
              <w:rPr>
                <w:rFonts w:ascii="Arial" w:eastAsia="Times New Roman" w:hAnsi="Arial" w:cs="Arial"/>
                <w:color w:val="000000"/>
                <w:sz w:val="20"/>
                <w:szCs w:val="20"/>
                <w:lang w:eastAsia="ru-RU"/>
              </w:rPr>
              <w:t>несырьевой</w:t>
            </w:r>
            <w:proofErr w:type="spellEnd"/>
            <w:r>
              <w:rPr>
                <w:rFonts w:ascii="Arial" w:eastAsia="Times New Roman" w:hAnsi="Arial" w:cs="Arial"/>
                <w:color w:val="000000"/>
                <w:sz w:val="20"/>
                <w:szCs w:val="20"/>
                <w:lang w:eastAsia="ru-RU"/>
              </w:rPr>
              <w:t xml:space="preserve"> </w:t>
            </w:r>
            <w:r w:rsidRPr="00546E78">
              <w:rPr>
                <w:rFonts w:ascii="Arial" w:eastAsia="Times New Roman" w:hAnsi="Arial" w:cs="Arial"/>
                <w:color w:val="000000"/>
                <w:sz w:val="20"/>
                <w:szCs w:val="20"/>
                <w:lang w:eastAsia="ru-RU"/>
              </w:rPr>
              <w:t>бизнес</w:t>
            </w:r>
          </w:p>
        </w:tc>
      </w:tr>
      <w:tr w:rsidR="006E4AC5" w:rsidRPr="00546E78" w14:paraId="6E62D874" w14:textId="77777777" w:rsidTr="006E4AC5">
        <w:trPr>
          <w:trHeight w:val="615"/>
        </w:trPr>
        <w:tc>
          <w:tcPr>
            <w:tcW w:w="6980" w:type="dxa"/>
            <w:tcBorders>
              <w:top w:val="nil"/>
              <w:left w:val="single" w:sz="4" w:space="0" w:color="auto"/>
              <w:bottom w:val="single" w:sz="4" w:space="0" w:color="auto"/>
              <w:right w:val="single" w:sz="4" w:space="0" w:color="auto"/>
            </w:tcBorders>
            <w:shd w:val="clear" w:color="000000" w:fill="00B050"/>
            <w:vAlign w:val="center"/>
            <w:hideMark/>
          </w:tcPr>
          <w:p w14:paraId="0D02869E" w14:textId="77777777" w:rsidR="006E4AC5" w:rsidRPr="00546E78" w:rsidRDefault="006E4AC5" w:rsidP="006E4AC5">
            <w:pPr>
              <w:spacing w:after="0" w:line="240" w:lineRule="auto"/>
              <w:rPr>
                <w:rFonts w:ascii="Arial" w:eastAsia="Times New Roman" w:hAnsi="Arial" w:cs="Arial"/>
                <w:sz w:val="20"/>
                <w:szCs w:val="20"/>
                <w:lang w:eastAsia="ru-RU"/>
              </w:rPr>
            </w:pPr>
            <w:r w:rsidRPr="00546E78">
              <w:rPr>
                <w:rFonts w:ascii="Arial" w:eastAsia="Times New Roman" w:hAnsi="Arial" w:cs="Arial"/>
                <w:sz w:val="20"/>
                <w:szCs w:val="20"/>
                <w:lang w:eastAsia="ru-RU"/>
              </w:rPr>
              <w:t>L Государственное управление и обеспечение  военной безопасности;  социальное страхование</w:t>
            </w:r>
          </w:p>
        </w:tc>
        <w:tc>
          <w:tcPr>
            <w:tcW w:w="3040" w:type="dxa"/>
            <w:tcBorders>
              <w:top w:val="nil"/>
              <w:left w:val="nil"/>
              <w:bottom w:val="single" w:sz="4" w:space="0" w:color="auto"/>
              <w:right w:val="single" w:sz="4" w:space="0" w:color="auto"/>
            </w:tcBorders>
            <w:shd w:val="clear" w:color="000000" w:fill="00B050"/>
            <w:noWrap/>
            <w:vAlign w:val="center"/>
            <w:hideMark/>
          </w:tcPr>
          <w:p w14:paraId="34F321C2" w14:textId="77777777" w:rsidR="006E4AC5" w:rsidRPr="00546E78" w:rsidRDefault="006E4AC5" w:rsidP="006E4AC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Бюджет</w:t>
            </w:r>
            <w:r w:rsidRPr="00546E78">
              <w:rPr>
                <w:rFonts w:ascii="Arial" w:eastAsia="Times New Roman" w:hAnsi="Arial" w:cs="Arial"/>
                <w:color w:val="000000"/>
                <w:sz w:val="20"/>
                <w:szCs w:val="20"/>
                <w:lang w:eastAsia="ru-RU"/>
              </w:rPr>
              <w:t>ный сектор</w:t>
            </w:r>
          </w:p>
        </w:tc>
      </w:tr>
      <w:tr w:rsidR="006E4AC5" w:rsidRPr="00546E78" w14:paraId="7816746D" w14:textId="77777777" w:rsidTr="006E4AC5">
        <w:trPr>
          <w:trHeight w:val="375"/>
        </w:trPr>
        <w:tc>
          <w:tcPr>
            <w:tcW w:w="6980" w:type="dxa"/>
            <w:tcBorders>
              <w:top w:val="nil"/>
              <w:left w:val="single" w:sz="4" w:space="0" w:color="auto"/>
              <w:bottom w:val="single" w:sz="4" w:space="0" w:color="auto"/>
              <w:right w:val="single" w:sz="4" w:space="0" w:color="auto"/>
            </w:tcBorders>
            <w:shd w:val="clear" w:color="000000" w:fill="00B050"/>
            <w:vAlign w:val="center"/>
            <w:hideMark/>
          </w:tcPr>
          <w:p w14:paraId="6116D732" w14:textId="77777777" w:rsidR="006E4AC5" w:rsidRPr="00546E78" w:rsidRDefault="006E4AC5" w:rsidP="006E4AC5">
            <w:pPr>
              <w:spacing w:after="0" w:line="240" w:lineRule="auto"/>
              <w:rPr>
                <w:rFonts w:ascii="Arial" w:eastAsia="Times New Roman" w:hAnsi="Arial" w:cs="Arial"/>
                <w:sz w:val="20"/>
                <w:szCs w:val="20"/>
                <w:lang w:eastAsia="ru-RU"/>
              </w:rPr>
            </w:pPr>
            <w:r w:rsidRPr="00546E78">
              <w:rPr>
                <w:rFonts w:ascii="Arial" w:eastAsia="Times New Roman" w:hAnsi="Arial" w:cs="Arial"/>
                <w:sz w:val="20"/>
                <w:szCs w:val="20"/>
                <w:lang w:eastAsia="ru-RU"/>
              </w:rPr>
              <w:t>M Образование</w:t>
            </w:r>
          </w:p>
        </w:tc>
        <w:tc>
          <w:tcPr>
            <w:tcW w:w="3040" w:type="dxa"/>
            <w:tcBorders>
              <w:top w:val="nil"/>
              <w:left w:val="nil"/>
              <w:bottom w:val="single" w:sz="4" w:space="0" w:color="auto"/>
              <w:right w:val="single" w:sz="4" w:space="0" w:color="auto"/>
            </w:tcBorders>
            <w:shd w:val="clear" w:color="000000" w:fill="00B050"/>
            <w:noWrap/>
            <w:vAlign w:val="center"/>
            <w:hideMark/>
          </w:tcPr>
          <w:p w14:paraId="444A7926" w14:textId="77777777" w:rsidR="006E4AC5" w:rsidRPr="00546E78" w:rsidRDefault="006E4AC5" w:rsidP="006E4AC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Бюджет</w:t>
            </w:r>
            <w:r w:rsidRPr="00546E78">
              <w:rPr>
                <w:rFonts w:ascii="Arial" w:eastAsia="Times New Roman" w:hAnsi="Arial" w:cs="Arial"/>
                <w:color w:val="000000"/>
                <w:sz w:val="20"/>
                <w:szCs w:val="20"/>
                <w:lang w:eastAsia="ru-RU"/>
              </w:rPr>
              <w:t>ный сектор</w:t>
            </w:r>
          </w:p>
        </w:tc>
      </w:tr>
      <w:tr w:rsidR="006E4AC5" w:rsidRPr="00546E78" w14:paraId="6D8975A4" w14:textId="77777777" w:rsidTr="006E4AC5">
        <w:trPr>
          <w:trHeight w:val="375"/>
        </w:trPr>
        <w:tc>
          <w:tcPr>
            <w:tcW w:w="6980" w:type="dxa"/>
            <w:tcBorders>
              <w:top w:val="nil"/>
              <w:left w:val="single" w:sz="4" w:space="0" w:color="auto"/>
              <w:bottom w:val="single" w:sz="4" w:space="0" w:color="auto"/>
              <w:right w:val="single" w:sz="4" w:space="0" w:color="auto"/>
            </w:tcBorders>
            <w:shd w:val="clear" w:color="000000" w:fill="00B050"/>
            <w:vAlign w:val="center"/>
            <w:hideMark/>
          </w:tcPr>
          <w:p w14:paraId="107D80B2" w14:textId="77777777" w:rsidR="006E4AC5" w:rsidRPr="00546E78" w:rsidRDefault="006E4AC5" w:rsidP="006E4AC5">
            <w:pPr>
              <w:spacing w:after="0" w:line="240" w:lineRule="auto"/>
              <w:rPr>
                <w:rFonts w:ascii="Arial" w:eastAsia="Times New Roman" w:hAnsi="Arial" w:cs="Arial"/>
                <w:sz w:val="20"/>
                <w:szCs w:val="20"/>
                <w:lang w:eastAsia="ru-RU"/>
              </w:rPr>
            </w:pPr>
            <w:r w:rsidRPr="00546E78">
              <w:rPr>
                <w:rFonts w:ascii="Arial" w:eastAsia="Times New Roman" w:hAnsi="Arial" w:cs="Arial"/>
                <w:sz w:val="20"/>
                <w:szCs w:val="20"/>
                <w:lang w:eastAsia="ru-RU"/>
              </w:rPr>
              <w:t>N Здравоохранение и предоставление социальных услуг</w:t>
            </w:r>
          </w:p>
        </w:tc>
        <w:tc>
          <w:tcPr>
            <w:tcW w:w="3040" w:type="dxa"/>
            <w:tcBorders>
              <w:top w:val="nil"/>
              <w:left w:val="nil"/>
              <w:bottom w:val="single" w:sz="4" w:space="0" w:color="auto"/>
              <w:right w:val="single" w:sz="4" w:space="0" w:color="auto"/>
            </w:tcBorders>
            <w:shd w:val="clear" w:color="000000" w:fill="00B050"/>
            <w:noWrap/>
            <w:vAlign w:val="center"/>
            <w:hideMark/>
          </w:tcPr>
          <w:p w14:paraId="39BEF352" w14:textId="77777777" w:rsidR="006E4AC5" w:rsidRPr="00546E78" w:rsidRDefault="006E4AC5" w:rsidP="006E4AC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Бюджет</w:t>
            </w:r>
            <w:r w:rsidRPr="00546E78">
              <w:rPr>
                <w:rFonts w:ascii="Arial" w:eastAsia="Times New Roman" w:hAnsi="Arial" w:cs="Arial"/>
                <w:color w:val="000000"/>
                <w:sz w:val="20"/>
                <w:szCs w:val="20"/>
                <w:lang w:eastAsia="ru-RU"/>
              </w:rPr>
              <w:t>ный сектор</w:t>
            </w:r>
          </w:p>
        </w:tc>
      </w:tr>
      <w:tr w:rsidR="006E4AC5" w:rsidRPr="00546E78" w14:paraId="28B2066C" w14:textId="77777777" w:rsidTr="006E4AC5">
        <w:trPr>
          <w:trHeight w:val="555"/>
        </w:trPr>
        <w:tc>
          <w:tcPr>
            <w:tcW w:w="6980" w:type="dxa"/>
            <w:tcBorders>
              <w:top w:val="nil"/>
              <w:left w:val="single" w:sz="4" w:space="0" w:color="auto"/>
              <w:bottom w:val="single" w:sz="4" w:space="0" w:color="auto"/>
              <w:right w:val="single" w:sz="4" w:space="0" w:color="auto"/>
            </w:tcBorders>
            <w:shd w:val="clear" w:color="000000" w:fill="DCE6F1"/>
            <w:vAlign w:val="center"/>
            <w:hideMark/>
          </w:tcPr>
          <w:p w14:paraId="4D730126" w14:textId="77777777" w:rsidR="006E4AC5" w:rsidRPr="00546E78" w:rsidRDefault="006E4AC5" w:rsidP="006E4AC5">
            <w:pPr>
              <w:spacing w:after="0" w:line="240" w:lineRule="auto"/>
              <w:rPr>
                <w:rFonts w:ascii="Arial" w:eastAsia="Times New Roman" w:hAnsi="Arial" w:cs="Arial"/>
                <w:sz w:val="20"/>
                <w:szCs w:val="20"/>
                <w:lang w:eastAsia="ru-RU"/>
              </w:rPr>
            </w:pPr>
            <w:r w:rsidRPr="00546E78">
              <w:rPr>
                <w:rFonts w:ascii="Arial" w:eastAsia="Times New Roman" w:hAnsi="Arial" w:cs="Arial"/>
                <w:sz w:val="20"/>
                <w:szCs w:val="20"/>
                <w:lang w:eastAsia="ru-RU"/>
              </w:rPr>
              <w:t>O Предоставление прочих коммунальных, социальных и персональных услуг</w:t>
            </w:r>
          </w:p>
        </w:tc>
        <w:tc>
          <w:tcPr>
            <w:tcW w:w="3040" w:type="dxa"/>
            <w:tcBorders>
              <w:top w:val="nil"/>
              <w:left w:val="nil"/>
              <w:bottom w:val="single" w:sz="4" w:space="0" w:color="auto"/>
              <w:right w:val="single" w:sz="4" w:space="0" w:color="auto"/>
            </w:tcBorders>
            <w:shd w:val="clear" w:color="000000" w:fill="DCE6F1"/>
            <w:noWrap/>
            <w:vAlign w:val="center"/>
            <w:hideMark/>
          </w:tcPr>
          <w:p w14:paraId="4FFFF049" w14:textId="77777777" w:rsidR="006E4AC5" w:rsidRPr="00546E78" w:rsidRDefault="006E4AC5" w:rsidP="006E4AC5">
            <w:pPr>
              <w:spacing w:after="0" w:line="240" w:lineRule="auto"/>
              <w:jc w:val="center"/>
              <w:rPr>
                <w:rFonts w:ascii="Arial" w:eastAsia="Times New Roman" w:hAnsi="Arial" w:cs="Arial"/>
                <w:color w:val="000000"/>
                <w:sz w:val="20"/>
                <w:szCs w:val="20"/>
                <w:lang w:eastAsia="ru-RU"/>
              </w:rPr>
            </w:pPr>
            <w:r w:rsidRPr="00546E78">
              <w:rPr>
                <w:rFonts w:ascii="Arial" w:eastAsia="Times New Roman" w:hAnsi="Arial" w:cs="Arial"/>
                <w:color w:val="000000"/>
                <w:sz w:val="20"/>
                <w:szCs w:val="20"/>
                <w:lang w:eastAsia="ru-RU"/>
              </w:rPr>
              <w:t xml:space="preserve">Малый и средний </w:t>
            </w:r>
            <w:proofErr w:type="spellStart"/>
            <w:r>
              <w:rPr>
                <w:rFonts w:ascii="Arial" w:eastAsia="Times New Roman" w:hAnsi="Arial" w:cs="Arial"/>
                <w:color w:val="000000"/>
                <w:sz w:val="20"/>
                <w:szCs w:val="20"/>
                <w:lang w:eastAsia="ru-RU"/>
              </w:rPr>
              <w:t>несырьевой</w:t>
            </w:r>
            <w:proofErr w:type="spellEnd"/>
            <w:r>
              <w:rPr>
                <w:rFonts w:ascii="Arial" w:eastAsia="Times New Roman" w:hAnsi="Arial" w:cs="Arial"/>
                <w:color w:val="000000"/>
                <w:sz w:val="20"/>
                <w:szCs w:val="20"/>
                <w:lang w:eastAsia="ru-RU"/>
              </w:rPr>
              <w:t xml:space="preserve"> </w:t>
            </w:r>
            <w:r w:rsidRPr="00546E78">
              <w:rPr>
                <w:rFonts w:ascii="Arial" w:eastAsia="Times New Roman" w:hAnsi="Arial" w:cs="Arial"/>
                <w:color w:val="000000"/>
                <w:sz w:val="20"/>
                <w:szCs w:val="20"/>
                <w:lang w:eastAsia="ru-RU"/>
              </w:rPr>
              <w:t>бизнес</w:t>
            </w:r>
          </w:p>
        </w:tc>
      </w:tr>
    </w:tbl>
    <w:p w14:paraId="50AD3846" w14:textId="77777777" w:rsidR="006E4AC5" w:rsidRPr="009310E6" w:rsidRDefault="006E4AC5" w:rsidP="006E4AC5">
      <w:pPr>
        <w:ind w:firstLine="709"/>
        <w:jc w:val="both"/>
        <w:rPr>
          <w:rFonts w:ascii="Times New Roman" w:hAnsi="Times New Roman" w:cs="Times New Roman"/>
          <w:i/>
          <w:sz w:val="24"/>
          <w:szCs w:val="24"/>
        </w:rPr>
      </w:pPr>
      <w:r w:rsidRPr="009310E6">
        <w:rPr>
          <w:rFonts w:ascii="Times New Roman" w:hAnsi="Times New Roman" w:cs="Times New Roman"/>
          <w:i/>
          <w:sz w:val="24"/>
          <w:szCs w:val="24"/>
        </w:rPr>
        <w:t>Источник: Росстат, НИУ ВШЭ</w:t>
      </w:r>
    </w:p>
    <w:p w14:paraId="2054A382" w14:textId="51ABBA33" w:rsidR="006E4AC5" w:rsidRDefault="006E4AC5" w:rsidP="006E4AC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Первый сектор, назовем его «Сырьевой бизнес»</w:t>
      </w:r>
      <w:r w:rsidR="0070063F">
        <w:rPr>
          <w:rFonts w:ascii="Times New Roman" w:hAnsi="Times New Roman" w:cs="Times New Roman"/>
          <w:sz w:val="24"/>
          <w:szCs w:val="24"/>
        </w:rPr>
        <w:t>,</w:t>
      </w:r>
      <w:r>
        <w:rPr>
          <w:rFonts w:ascii="Times New Roman" w:hAnsi="Times New Roman" w:cs="Times New Roman"/>
          <w:sz w:val="24"/>
          <w:szCs w:val="24"/>
        </w:rPr>
        <w:t xml:space="preserve"> включает в себя компании, специализирующиеся на добыче, переработке, транспортировке и торговле углеводородным сырьем. Эти компании в начале 2000</w:t>
      </w:r>
      <w:r w:rsidR="0070063F">
        <w:rPr>
          <w:rFonts w:ascii="Times New Roman" w:hAnsi="Times New Roman" w:cs="Times New Roman"/>
          <w:sz w:val="24"/>
          <w:szCs w:val="24"/>
        </w:rPr>
        <w:t>-х</w:t>
      </w:r>
      <w:r>
        <w:rPr>
          <w:rFonts w:ascii="Times New Roman" w:hAnsi="Times New Roman" w:cs="Times New Roman"/>
          <w:sz w:val="24"/>
          <w:szCs w:val="24"/>
        </w:rPr>
        <w:t xml:space="preserve"> годов начали получать сверхдоходы от растущих цен на нефть. В 2002-2004 гг. государством была разработана система налогообложения рентных сверхдоходов (экспортные пошлины и НДПИ), которая позволяла изымать в бюджет большую часть нефтегазовой ренты, чтобы частично сберегать ее в суверенных фондах, частично перераспределять другим секторам экономики. Кроме того государство обложило </w:t>
      </w:r>
      <w:r>
        <w:rPr>
          <w:rFonts w:ascii="Times New Roman" w:hAnsi="Times New Roman" w:cs="Times New Roman"/>
          <w:sz w:val="24"/>
          <w:szCs w:val="24"/>
        </w:rPr>
        <w:lastRenderedPageBreak/>
        <w:t xml:space="preserve">сырьевой бизнес </w:t>
      </w:r>
      <w:proofErr w:type="spellStart"/>
      <w:r>
        <w:rPr>
          <w:rFonts w:ascii="Times New Roman" w:hAnsi="Times New Roman" w:cs="Times New Roman"/>
          <w:sz w:val="24"/>
          <w:szCs w:val="24"/>
        </w:rPr>
        <w:t>сверхналоговой</w:t>
      </w:r>
      <w:proofErr w:type="spellEnd"/>
      <w:r>
        <w:rPr>
          <w:rFonts w:ascii="Times New Roman" w:hAnsi="Times New Roman" w:cs="Times New Roman"/>
          <w:sz w:val="24"/>
          <w:szCs w:val="24"/>
        </w:rPr>
        <w:t xml:space="preserve"> нагрузкой, связанной с выполнением социальных обязательств (поддержка занятости, содержание объектов социальной сферы) и финансирования затратных проектов</w:t>
      </w:r>
      <w:r w:rsidR="003B71CE" w:rsidRPr="008552EB">
        <w:rPr>
          <w:rFonts w:ascii="Times New Roman" w:hAnsi="Times New Roman" w:cs="Times New Roman"/>
          <w:sz w:val="24"/>
          <w:szCs w:val="24"/>
        </w:rPr>
        <w:t xml:space="preserve"> </w:t>
      </w:r>
      <w:r w:rsidR="003B71CE">
        <w:rPr>
          <w:rFonts w:ascii="Times New Roman" w:hAnsi="Times New Roman" w:cs="Times New Roman"/>
          <w:sz w:val="24"/>
          <w:szCs w:val="24"/>
        </w:rPr>
        <w:t>социального характера</w:t>
      </w:r>
      <w:r>
        <w:rPr>
          <w:rFonts w:ascii="Times New Roman" w:hAnsi="Times New Roman" w:cs="Times New Roman"/>
          <w:sz w:val="24"/>
          <w:szCs w:val="24"/>
        </w:rPr>
        <w:t xml:space="preserve">. Тем не менее, даже с учетом изъятий, </w:t>
      </w:r>
      <w:r w:rsidR="003B71CE">
        <w:rPr>
          <w:rFonts w:ascii="Times New Roman" w:hAnsi="Times New Roman" w:cs="Times New Roman"/>
          <w:sz w:val="24"/>
          <w:szCs w:val="24"/>
        </w:rPr>
        <w:t xml:space="preserve">средняя </w:t>
      </w:r>
      <w:r>
        <w:rPr>
          <w:rFonts w:ascii="Times New Roman" w:hAnsi="Times New Roman" w:cs="Times New Roman"/>
          <w:sz w:val="24"/>
          <w:szCs w:val="24"/>
        </w:rPr>
        <w:t xml:space="preserve">рентабельность в этом </w:t>
      </w:r>
      <w:proofErr w:type="spellStart"/>
      <w:r>
        <w:rPr>
          <w:rFonts w:ascii="Times New Roman" w:hAnsi="Times New Roman" w:cs="Times New Roman"/>
          <w:sz w:val="24"/>
          <w:szCs w:val="24"/>
        </w:rPr>
        <w:t>макросекторе</w:t>
      </w:r>
      <w:proofErr w:type="spellEnd"/>
      <w:r>
        <w:rPr>
          <w:rFonts w:ascii="Times New Roman" w:hAnsi="Times New Roman" w:cs="Times New Roman"/>
          <w:sz w:val="24"/>
          <w:szCs w:val="24"/>
        </w:rPr>
        <w:t xml:space="preserve"> в «тучные годы» </w:t>
      </w:r>
      <w:r w:rsidRPr="00CC6DED">
        <w:rPr>
          <w:rFonts w:ascii="Times New Roman" w:hAnsi="Times New Roman" w:cs="Times New Roman"/>
          <w:sz w:val="24"/>
          <w:szCs w:val="24"/>
        </w:rPr>
        <w:t>составляла около 20%</w:t>
      </w:r>
      <w:r>
        <w:rPr>
          <w:rFonts w:ascii="Times New Roman" w:hAnsi="Times New Roman" w:cs="Times New Roman"/>
          <w:sz w:val="24"/>
          <w:szCs w:val="24"/>
        </w:rPr>
        <w:t xml:space="preserve"> и была </w:t>
      </w:r>
      <w:r w:rsidR="003B71CE">
        <w:rPr>
          <w:rFonts w:ascii="Times New Roman" w:hAnsi="Times New Roman" w:cs="Times New Roman"/>
          <w:sz w:val="24"/>
          <w:szCs w:val="24"/>
        </w:rPr>
        <w:t xml:space="preserve">ощутимо – в 2-3 раза - </w:t>
      </w:r>
      <w:r>
        <w:rPr>
          <w:rFonts w:ascii="Times New Roman" w:hAnsi="Times New Roman" w:cs="Times New Roman"/>
          <w:sz w:val="24"/>
          <w:szCs w:val="24"/>
        </w:rPr>
        <w:t>выше, чем в других секторах.</w:t>
      </w:r>
    </w:p>
    <w:p w14:paraId="6A11700A" w14:textId="77777777" w:rsidR="006E4AC5" w:rsidRPr="003D0A17" w:rsidRDefault="006E4AC5" w:rsidP="006E4AC5">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Рис. 3.1. </w:t>
      </w:r>
      <w:r w:rsidRPr="003D0A17">
        <w:rPr>
          <w:rFonts w:ascii="Times New Roman" w:hAnsi="Times New Roman" w:cs="Times New Roman"/>
          <w:b/>
          <w:sz w:val="24"/>
          <w:szCs w:val="24"/>
        </w:rPr>
        <w:t xml:space="preserve">Рентабельность продаж в </w:t>
      </w:r>
      <w:proofErr w:type="spellStart"/>
      <w:r w:rsidRPr="003D0A17">
        <w:rPr>
          <w:rFonts w:ascii="Times New Roman" w:hAnsi="Times New Roman" w:cs="Times New Roman"/>
          <w:b/>
          <w:sz w:val="24"/>
          <w:szCs w:val="24"/>
        </w:rPr>
        <w:t>макросекторах</w:t>
      </w:r>
      <w:proofErr w:type="spellEnd"/>
    </w:p>
    <w:p w14:paraId="3A042A37" w14:textId="77777777" w:rsidR="006E4AC5" w:rsidRDefault="006E4AC5" w:rsidP="006E4AC5">
      <w:pPr>
        <w:ind w:firstLine="709"/>
        <w:jc w:val="both"/>
        <w:rPr>
          <w:rFonts w:ascii="Times New Roman" w:hAnsi="Times New Roman" w:cs="Times New Roman"/>
          <w:sz w:val="24"/>
          <w:szCs w:val="24"/>
        </w:rPr>
      </w:pPr>
      <w:r w:rsidRPr="008552EB">
        <w:rPr>
          <w:rFonts w:ascii="Times New Roman" w:hAnsi="Times New Roman" w:cs="Times New Roman"/>
          <w:noProof/>
          <w:sz w:val="24"/>
          <w:szCs w:val="24"/>
          <w:lang w:eastAsia="ru-RU"/>
        </w:rPr>
        <w:drawing>
          <wp:inline distT="0" distB="0" distL="0" distR="0" wp14:anchorId="6EB22363" wp14:editId="00D7737F">
            <wp:extent cx="4873557" cy="2970822"/>
            <wp:effectExtent l="0" t="0" r="3810" b="127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7818" cy="2979515"/>
                    </a:xfrm>
                    <a:prstGeom prst="rect">
                      <a:avLst/>
                    </a:prstGeom>
                    <a:noFill/>
                  </pic:spPr>
                </pic:pic>
              </a:graphicData>
            </a:graphic>
          </wp:inline>
        </w:drawing>
      </w:r>
    </w:p>
    <w:p w14:paraId="4CD4601D" w14:textId="77777777" w:rsidR="006E4AC5" w:rsidRPr="003D0A17" w:rsidRDefault="006E4AC5" w:rsidP="006E4AC5">
      <w:pPr>
        <w:ind w:firstLine="709"/>
        <w:jc w:val="both"/>
        <w:rPr>
          <w:rFonts w:ascii="Times New Roman" w:hAnsi="Times New Roman" w:cs="Times New Roman"/>
          <w:i/>
          <w:sz w:val="24"/>
          <w:szCs w:val="24"/>
        </w:rPr>
      </w:pPr>
      <w:r w:rsidRPr="003D0A17">
        <w:rPr>
          <w:rFonts w:ascii="Times New Roman" w:hAnsi="Times New Roman" w:cs="Times New Roman"/>
          <w:i/>
          <w:sz w:val="24"/>
          <w:szCs w:val="24"/>
        </w:rPr>
        <w:t xml:space="preserve">Источник: Росстат, расчёты </w:t>
      </w:r>
      <w:r>
        <w:rPr>
          <w:rFonts w:ascii="Times New Roman" w:hAnsi="Times New Roman" w:cs="Times New Roman"/>
          <w:i/>
          <w:sz w:val="24"/>
          <w:szCs w:val="24"/>
        </w:rPr>
        <w:t xml:space="preserve">НИУ </w:t>
      </w:r>
      <w:r w:rsidRPr="003D0A17">
        <w:rPr>
          <w:rFonts w:ascii="Times New Roman" w:hAnsi="Times New Roman" w:cs="Times New Roman"/>
          <w:i/>
          <w:sz w:val="24"/>
          <w:szCs w:val="24"/>
        </w:rPr>
        <w:t>ВШЭ</w:t>
      </w:r>
    </w:p>
    <w:p w14:paraId="0A78141A" w14:textId="77B045D6" w:rsidR="009202AA" w:rsidRDefault="006E4AC5" w:rsidP="009202A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Второй сектор экономики (условно назовем его «Крупный </w:t>
      </w:r>
      <w:proofErr w:type="spellStart"/>
      <w:r>
        <w:rPr>
          <w:rFonts w:ascii="Times New Roman" w:hAnsi="Times New Roman" w:cs="Times New Roman"/>
          <w:sz w:val="24"/>
          <w:szCs w:val="24"/>
        </w:rPr>
        <w:t>несырьевой</w:t>
      </w:r>
      <w:proofErr w:type="spellEnd"/>
      <w:r>
        <w:rPr>
          <w:rFonts w:ascii="Times New Roman" w:hAnsi="Times New Roman" w:cs="Times New Roman"/>
          <w:sz w:val="24"/>
          <w:szCs w:val="24"/>
        </w:rPr>
        <w:t xml:space="preserve"> бизнес») включает в себя крупные предприятия </w:t>
      </w:r>
      <w:proofErr w:type="spellStart"/>
      <w:r>
        <w:rPr>
          <w:rFonts w:ascii="Times New Roman" w:hAnsi="Times New Roman" w:cs="Times New Roman"/>
          <w:sz w:val="24"/>
          <w:szCs w:val="24"/>
        </w:rPr>
        <w:t>несырьевых</w:t>
      </w:r>
      <w:proofErr w:type="spellEnd"/>
      <w:r>
        <w:rPr>
          <w:rFonts w:ascii="Times New Roman" w:hAnsi="Times New Roman" w:cs="Times New Roman"/>
          <w:sz w:val="24"/>
          <w:szCs w:val="24"/>
        </w:rPr>
        <w:t xml:space="preserve"> отраслей, реализующие свою продукцию преимущественно на внутреннем рынке. Укрепление рубля в реальном выражении, сопровождавшее периоды растущих и высоких цен на нефть, </w:t>
      </w:r>
      <w:r w:rsidR="006B3672">
        <w:rPr>
          <w:rFonts w:ascii="Times New Roman" w:hAnsi="Times New Roman" w:cs="Times New Roman"/>
          <w:sz w:val="24"/>
          <w:szCs w:val="24"/>
        </w:rPr>
        <w:t xml:space="preserve">послужило фактором снижения </w:t>
      </w:r>
      <w:r w:rsidR="006B3672" w:rsidRPr="008552EB">
        <w:rPr>
          <w:rFonts w:ascii="Times New Roman" w:hAnsi="Times New Roman" w:cs="Times New Roman"/>
          <w:b/>
          <w:sz w:val="24"/>
          <w:szCs w:val="24"/>
        </w:rPr>
        <w:t>ценов</w:t>
      </w:r>
      <w:r w:rsidR="006B3672">
        <w:rPr>
          <w:rFonts w:ascii="Times New Roman" w:hAnsi="Times New Roman" w:cs="Times New Roman"/>
          <w:b/>
          <w:sz w:val="24"/>
          <w:szCs w:val="24"/>
        </w:rPr>
        <w:t>ой</w:t>
      </w:r>
      <w:r w:rsidR="006B3672">
        <w:rPr>
          <w:rFonts w:ascii="Times New Roman" w:hAnsi="Times New Roman" w:cs="Times New Roman"/>
          <w:sz w:val="24"/>
          <w:szCs w:val="24"/>
        </w:rPr>
        <w:t xml:space="preserve"> </w:t>
      </w:r>
      <w:r>
        <w:rPr>
          <w:rFonts w:ascii="Times New Roman" w:hAnsi="Times New Roman" w:cs="Times New Roman"/>
          <w:sz w:val="24"/>
          <w:szCs w:val="24"/>
        </w:rPr>
        <w:t>конкурентоспособност</w:t>
      </w:r>
      <w:r w:rsidR="006B3672">
        <w:rPr>
          <w:rFonts w:ascii="Times New Roman" w:hAnsi="Times New Roman" w:cs="Times New Roman"/>
          <w:sz w:val="24"/>
          <w:szCs w:val="24"/>
        </w:rPr>
        <w:t>и</w:t>
      </w:r>
      <w:r>
        <w:rPr>
          <w:rFonts w:ascii="Times New Roman" w:hAnsi="Times New Roman" w:cs="Times New Roman"/>
          <w:sz w:val="24"/>
          <w:szCs w:val="24"/>
        </w:rPr>
        <w:t xml:space="preserve"> по сравнению с импортными товарами. </w:t>
      </w:r>
      <w:r w:rsidR="006B3672">
        <w:rPr>
          <w:rFonts w:ascii="Times New Roman" w:hAnsi="Times New Roman" w:cs="Times New Roman"/>
          <w:sz w:val="24"/>
          <w:szCs w:val="24"/>
        </w:rPr>
        <w:t xml:space="preserve">Однако в реальности «жертв» оказалось не так много. Практически исчезла отечественная легкая и текстильная промышленность, которой на внутреннем рынке пришлось конкурировать с дешевыми и достаточно качественными азиатскими аналогами.  </w:t>
      </w:r>
      <w:r w:rsidR="009202AA">
        <w:rPr>
          <w:rFonts w:ascii="Times New Roman" w:hAnsi="Times New Roman" w:cs="Times New Roman"/>
          <w:sz w:val="24"/>
          <w:szCs w:val="24"/>
        </w:rPr>
        <w:t xml:space="preserve">Другие отрасли, где конкурирующий импорт был из стран с высокой ценой труда, выжили, </w:t>
      </w:r>
      <w:r w:rsidR="008552EB">
        <w:rPr>
          <w:rFonts w:ascii="Times New Roman" w:hAnsi="Times New Roman" w:cs="Times New Roman"/>
          <w:sz w:val="24"/>
          <w:szCs w:val="24"/>
        </w:rPr>
        <w:t xml:space="preserve">немалой </w:t>
      </w:r>
      <w:r w:rsidR="001D2916">
        <w:rPr>
          <w:rFonts w:ascii="Times New Roman" w:hAnsi="Times New Roman" w:cs="Times New Roman"/>
          <w:sz w:val="24"/>
          <w:szCs w:val="24"/>
        </w:rPr>
        <w:t xml:space="preserve">части </w:t>
      </w:r>
      <w:r w:rsidR="00147C28">
        <w:rPr>
          <w:rFonts w:ascii="Times New Roman" w:hAnsi="Times New Roman" w:cs="Times New Roman"/>
          <w:sz w:val="24"/>
          <w:szCs w:val="24"/>
        </w:rPr>
        <w:t>предприяти</w:t>
      </w:r>
      <w:r w:rsidR="001D2916">
        <w:rPr>
          <w:rFonts w:ascii="Times New Roman" w:hAnsi="Times New Roman" w:cs="Times New Roman"/>
          <w:sz w:val="24"/>
          <w:szCs w:val="24"/>
        </w:rPr>
        <w:t>й</w:t>
      </w:r>
      <w:r w:rsidR="006B3672">
        <w:rPr>
          <w:rFonts w:ascii="Times New Roman" w:hAnsi="Times New Roman" w:cs="Times New Roman"/>
          <w:sz w:val="24"/>
          <w:szCs w:val="24"/>
        </w:rPr>
        <w:t xml:space="preserve"> </w:t>
      </w:r>
      <w:r w:rsidR="00147C28">
        <w:rPr>
          <w:rFonts w:ascii="Times New Roman" w:hAnsi="Times New Roman" w:cs="Times New Roman"/>
          <w:sz w:val="24"/>
          <w:szCs w:val="24"/>
        </w:rPr>
        <w:t xml:space="preserve">удалось, пользуясь выгодным курсом рубля, провести техническое перевооружение и повысить свою конкурентоспособность. </w:t>
      </w:r>
    </w:p>
    <w:p w14:paraId="3BA7DB93" w14:textId="5856870B" w:rsidR="004C7DBD" w:rsidRDefault="006B3672" w:rsidP="009202A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Э</w:t>
      </w:r>
      <w:r w:rsidR="006E4AC5">
        <w:rPr>
          <w:rFonts w:ascii="Times New Roman" w:hAnsi="Times New Roman" w:cs="Times New Roman"/>
          <w:sz w:val="24"/>
          <w:szCs w:val="24"/>
        </w:rPr>
        <w:t xml:space="preserve">тим предприятиям удавалось получать </w:t>
      </w:r>
      <w:r w:rsidR="003B71CE">
        <w:rPr>
          <w:rFonts w:ascii="Times New Roman" w:hAnsi="Times New Roman" w:cs="Times New Roman"/>
          <w:sz w:val="24"/>
          <w:szCs w:val="24"/>
        </w:rPr>
        <w:t xml:space="preserve">среднюю </w:t>
      </w:r>
      <w:r w:rsidR="006E4AC5">
        <w:rPr>
          <w:rFonts w:ascii="Times New Roman" w:hAnsi="Times New Roman" w:cs="Times New Roman"/>
          <w:sz w:val="24"/>
          <w:szCs w:val="24"/>
        </w:rPr>
        <w:t xml:space="preserve">доходность на уровне 9-12% благодаря росту внутреннего спроса, генерируемому притоком в экономику (в том числе по каналам бюджета) нефтегазовых сверхдоходов. Дополнительный доход для крупных </w:t>
      </w:r>
      <w:r w:rsidR="006E4AC5">
        <w:rPr>
          <w:rFonts w:ascii="Times New Roman" w:hAnsi="Times New Roman" w:cs="Times New Roman"/>
          <w:sz w:val="24"/>
          <w:szCs w:val="24"/>
        </w:rPr>
        <w:lastRenderedPageBreak/>
        <w:t xml:space="preserve">предприятий, особенно в инфраструктурных отраслях, обеспечивался и их монопольным положением. Тем не менее, рентабельность, которую могли получать на рынке компании второго </w:t>
      </w:r>
      <w:proofErr w:type="spellStart"/>
      <w:r w:rsidR="006E4AC5">
        <w:rPr>
          <w:rFonts w:ascii="Times New Roman" w:hAnsi="Times New Roman" w:cs="Times New Roman"/>
          <w:sz w:val="24"/>
          <w:szCs w:val="24"/>
        </w:rPr>
        <w:t>макросектора</w:t>
      </w:r>
      <w:proofErr w:type="spellEnd"/>
      <w:r w:rsidR="006E4AC5">
        <w:rPr>
          <w:rFonts w:ascii="Times New Roman" w:hAnsi="Times New Roman" w:cs="Times New Roman"/>
          <w:sz w:val="24"/>
          <w:szCs w:val="24"/>
        </w:rPr>
        <w:t xml:space="preserve">, представлялась </w:t>
      </w:r>
      <w:r w:rsidR="009202AA">
        <w:rPr>
          <w:rFonts w:ascii="Times New Roman" w:hAnsi="Times New Roman" w:cs="Times New Roman"/>
          <w:sz w:val="24"/>
          <w:szCs w:val="24"/>
        </w:rPr>
        <w:t>российским бизнесменам</w:t>
      </w:r>
      <w:r w:rsidR="006E4AC5">
        <w:rPr>
          <w:rFonts w:ascii="Times New Roman" w:hAnsi="Times New Roman" w:cs="Times New Roman"/>
          <w:sz w:val="24"/>
          <w:szCs w:val="24"/>
        </w:rPr>
        <w:t xml:space="preserve"> недостаточной по сравнению с доходностью, получаемой в сырьевом бизнесе, и недостаточно компенсирующей риски, связанные с несовершенством правовой и регуляторной среды. </w:t>
      </w:r>
      <w:r w:rsidR="009202AA">
        <w:rPr>
          <w:rFonts w:ascii="Times New Roman" w:hAnsi="Times New Roman" w:cs="Times New Roman"/>
          <w:sz w:val="24"/>
          <w:szCs w:val="24"/>
        </w:rPr>
        <w:t xml:space="preserve">Другими словами, бизнес отказывался вкладывать деньги в проекты </w:t>
      </w:r>
      <w:proofErr w:type="spellStart"/>
      <w:r w:rsidR="009202AA">
        <w:rPr>
          <w:rFonts w:ascii="Times New Roman" w:hAnsi="Times New Roman" w:cs="Times New Roman"/>
          <w:sz w:val="24"/>
          <w:szCs w:val="24"/>
        </w:rPr>
        <w:t>несырьевого</w:t>
      </w:r>
      <w:proofErr w:type="spellEnd"/>
      <w:r w:rsidR="009202AA">
        <w:rPr>
          <w:rFonts w:ascii="Times New Roman" w:hAnsi="Times New Roman" w:cs="Times New Roman"/>
          <w:sz w:val="24"/>
          <w:szCs w:val="24"/>
        </w:rPr>
        <w:t xml:space="preserve"> сектора. Там, где государству представлялось необходимым такие проекты развивать (жилищное и дорожное строительство, машиностроение, сельское хозяйство)</w:t>
      </w:r>
      <w:r w:rsidR="00815B91">
        <w:rPr>
          <w:rFonts w:ascii="Times New Roman" w:hAnsi="Times New Roman" w:cs="Times New Roman"/>
          <w:sz w:val="24"/>
          <w:szCs w:val="24"/>
        </w:rPr>
        <w:t>,</w:t>
      </w:r>
      <w:r w:rsidR="009202AA">
        <w:rPr>
          <w:rFonts w:ascii="Times New Roman" w:hAnsi="Times New Roman" w:cs="Times New Roman"/>
          <w:sz w:val="24"/>
          <w:szCs w:val="24"/>
        </w:rPr>
        <w:t xml:space="preserve"> привлечение частного бизнеса происходило, как правило, на условиях </w:t>
      </w:r>
      <w:proofErr w:type="spellStart"/>
      <w:r w:rsidR="009202AA">
        <w:rPr>
          <w:rFonts w:ascii="Times New Roman" w:hAnsi="Times New Roman" w:cs="Times New Roman"/>
          <w:sz w:val="24"/>
          <w:szCs w:val="24"/>
        </w:rPr>
        <w:t>софинансирования</w:t>
      </w:r>
      <w:proofErr w:type="spellEnd"/>
      <w:r w:rsidR="009202AA">
        <w:rPr>
          <w:rFonts w:ascii="Times New Roman" w:hAnsi="Times New Roman" w:cs="Times New Roman"/>
          <w:sz w:val="24"/>
          <w:szCs w:val="24"/>
        </w:rPr>
        <w:t xml:space="preserve"> </w:t>
      </w:r>
      <w:r w:rsidR="004C7DBD">
        <w:rPr>
          <w:rFonts w:ascii="Times New Roman" w:hAnsi="Times New Roman" w:cs="Times New Roman"/>
          <w:sz w:val="24"/>
          <w:szCs w:val="24"/>
        </w:rPr>
        <w:t xml:space="preserve">или гарантирования проектов </w:t>
      </w:r>
      <w:r w:rsidR="009202AA">
        <w:rPr>
          <w:rFonts w:ascii="Times New Roman" w:hAnsi="Times New Roman" w:cs="Times New Roman"/>
          <w:sz w:val="24"/>
          <w:szCs w:val="24"/>
        </w:rPr>
        <w:t>государством</w:t>
      </w:r>
      <w:r w:rsidR="007E5F4B">
        <w:rPr>
          <w:rFonts w:ascii="Times New Roman" w:hAnsi="Times New Roman" w:cs="Times New Roman"/>
          <w:sz w:val="24"/>
          <w:szCs w:val="24"/>
        </w:rPr>
        <w:t>.</w:t>
      </w:r>
      <w:r w:rsidR="009202AA">
        <w:rPr>
          <w:rFonts w:ascii="Times New Roman" w:hAnsi="Times New Roman" w:cs="Times New Roman"/>
          <w:sz w:val="24"/>
          <w:szCs w:val="24"/>
        </w:rPr>
        <w:t xml:space="preserve"> </w:t>
      </w:r>
      <w:r w:rsidR="004C7DBD">
        <w:rPr>
          <w:rFonts w:ascii="Times New Roman" w:hAnsi="Times New Roman" w:cs="Times New Roman"/>
          <w:sz w:val="24"/>
          <w:szCs w:val="24"/>
        </w:rPr>
        <w:t>Форма могла быть самая разная – от особых экономических зон до ЧГП.</w:t>
      </w:r>
    </w:p>
    <w:p w14:paraId="319F5DBC" w14:textId="37EB48D9" w:rsidR="007E5F4B" w:rsidRDefault="009202AA" w:rsidP="009202A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B52D6">
        <w:rPr>
          <w:rFonts w:ascii="Times New Roman" w:hAnsi="Times New Roman" w:cs="Times New Roman"/>
          <w:sz w:val="24"/>
          <w:szCs w:val="24"/>
        </w:rPr>
        <w:t>Фактически</w:t>
      </w:r>
      <w:r w:rsidR="00BB52D6" w:rsidDel="007E5F4B">
        <w:rPr>
          <w:rFonts w:ascii="Times New Roman" w:hAnsi="Times New Roman" w:cs="Times New Roman"/>
          <w:sz w:val="24"/>
          <w:szCs w:val="24"/>
        </w:rPr>
        <w:t xml:space="preserve"> </w:t>
      </w:r>
      <w:r w:rsidR="00BB52D6">
        <w:rPr>
          <w:rFonts w:ascii="Times New Roman" w:hAnsi="Times New Roman" w:cs="Times New Roman"/>
          <w:sz w:val="24"/>
          <w:szCs w:val="24"/>
        </w:rPr>
        <w:t>за 10 лет сложилась модель</w:t>
      </w:r>
      <w:r w:rsidR="00815B91">
        <w:rPr>
          <w:rFonts w:ascii="Times New Roman" w:hAnsi="Times New Roman" w:cs="Times New Roman"/>
          <w:sz w:val="24"/>
          <w:szCs w:val="24"/>
        </w:rPr>
        <w:t>,</w:t>
      </w:r>
      <w:r w:rsidR="00BB52D6">
        <w:rPr>
          <w:rFonts w:ascii="Times New Roman" w:hAnsi="Times New Roman" w:cs="Times New Roman"/>
          <w:sz w:val="24"/>
          <w:szCs w:val="24"/>
        </w:rPr>
        <w:t xml:space="preserve"> когда г</w:t>
      </w:r>
      <w:r w:rsidR="007E5F4B">
        <w:rPr>
          <w:rFonts w:ascii="Times New Roman" w:hAnsi="Times New Roman" w:cs="Times New Roman"/>
          <w:sz w:val="24"/>
          <w:szCs w:val="24"/>
        </w:rPr>
        <w:t>осударство</w:t>
      </w:r>
      <w:r w:rsidR="00BB52D6">
        <w:rPr>
          <w:rFonts w:ascii="Times New Roman" w:hAnsi="Times New Roman" w:cs="Times New Roman"/>
          <w:sz w:val="24"/>
          <w:szCs w:val="24"/>
        </w:rPr>
        <w:t xml:space="preserve"> выступает </w:t>
      </w:r>
      <w:r w:rsidR="004C7DBD">
        <w:rPr>
          <w:rFonts w:ascii="Times New Roman" w:hAnsi="Times New Roman" w:cs="Times New Roman"/>
          <w:sz w:val="24"/>
          <w:szCs w:val="24"/>
        </w:rPr>
        <w:t xml:space="preserve">агентом </w:t>
      </w:r>
      <w:r w:rsidR="00BB52D6">
        <w:rPr>
          <w:rFonts w:ascii="Times New Roman" w:hAnsi="Times New Roman" w:cs="Times New Roman"/>
          <w:sz w:val="24"/>
          <w:szCs w:val="24"/>
        </w:rPr>
        <w:t xml:space="preserve">перераспределения между отраслями первого и второго </w:t>
      </w:r>
      <w:proofErr w:type="spellStart"/>
      <w:r w:rsidR="00BB52D6">
        <w:rPr>
          <w:rFonts w:ascii="Times New Roman" w:hAnsi="Times New Roman" w:cs="Times New Roman"/>
          <w:sz w:val="24"/>
          <w:szCs w:val="24"/>
        </w:rPr>
        <w:t>макросекторов</w:t>
      </w:r>
      <w:proofErr w:type="spellEnd"/>
      <w:r w:rsidR="00BB52D6">
        <w:rPr>
          <w:rFonts w:ascii="Times New Roman" w:hAnsi="Times New Roman" w:cs="Times New Roman"/>
          <w:sz w:val="24"/>
          <w:szCs w:val="24"/>
        </w:rPr>
        <w:t xml:space="preserve">. </w:t>
      </w:r>
      <w:r w:rsidR="004C7DBD">
        <w:rPr>
          <w:rFonts w:ascii="Times New Roman" w:hAnsi="Times New Roman" w:cs="Times New Roman"/>
          <w:sz w:val="24"/>
          <w:szCs w:val="24"/>
        </w:rPr>
        <w:t>И</w:t>
      </w:r>
      <w:r w:rsidR="007E5F4B">
        <w:rPr>
          <w:rFonts w:ascii="Times New Roman" w:hAnsi="Times New Roman" w:cs="Times New Roman"/>
          <w:sz w:val="24"/>
          <w:szCs w:val="24"/>
        </w:rPr>
        <w:t xml:space="preserve">зымая часть нефтегазовых доходов у первого (сырьевого) сектора, </w:t>
      </w:r>
      <w:r w:rsidR="004C7DBD">
        <w:rPr>
          <w:rFonts w:ascii="Times New Roman" w:hAnsi="Times New Roman" w:cs="Times New Roman"/>
          <w:sz w:val="24"/>
          <w:szCs w:val="24"/>
        </w:rPr>
        <w:t xml:space="preserve">государство </w:t>
      </w:r>
      <w:r w:rsidR="007E5F4B">
        <w:rPr>
          <w:rFonts w:ascii="Times New Roman" w:hAnsi="Times New Roman" w:cs="Times New Roman"/>
          <w:sz w:val="24"/>
          <w:szCs w:val="24"/>
        </w:rPr>
        <w:t xml:space="preserve">перераспределяло часть изъятого бизнесу </w:t>
      </w:r>
      <w:proofErr w:type="spellStart"/>
      <w:r w:rsidR="007E5F4B">
        <w:rPr>
          <w:rFonts w:ascii="Times New Roman" w:hAnsi="Times New Roman" w:cs="Times New Roman"/>
          <w:sz w:val="24"/>
          <w:szCs w:val="24"/>
        </w:rPr>
        <w:t>несырьевого</w:t>
      </w:r>
      <w:proofErr w:type="spellEnd"/>
      <w:r w:rsidR="007E5F4B">
        <w:rPr>
          <w:rFonts w:ascii="Times New Roman" w:hAnsi="Times New Roman" w:cs="Times New Roman"/>
          <w:sz w:val="24"/>
          <w:szCs w:val="24"/>
        </w:rPr>
        <w:t xml:space="preserve"> сектора</w:t>
      </w:r>
      <w:r w:rsidR="004C7DBD">
        <w:rPr>
          <w:rFonts w:ascii="Times New Roman" w:hAnsi="Times New Roman" w:cs="Times New Roman"/>
          <w:sz w:val="24"/>
          <w:szCs w:val="24"/>
        </w:rPr>
        <w:t>, обеспечивая его участие в инвестициях (строительный бизнес) или просто сохранение в отрасли (часть отраслей машиностроения).</w:t>
      </w:r>
    </w:p>
    <w:p w14:paraId="49DBCC23" w14:textId="2899E764" w:rsidR="006E4AC5" w:rsidRDefault="006E4AC5" w:rsidP="009202A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Крупные размеры </w:t>
      </w:r>
      <w:r w:rsidR="004C7DBD">
        <w:rPr>
          <w:rFonts w:ascii="Times New Roman" w:hAnsi="Times New Roman" w:cs="Times New Roman"/>
          <w:sz w:val="24"/>
          <w:szCs w:val="24"/>
        </w:rPr>
        <w:t>бизнесов</w:t>
      </w:r>
      <w:r>
        <w:rPr>
          <w:rFonts w:ascii="Times New Roman" w:hAnsi="Times New Roman" w:cs="Times New Roman"/>
          <w:sz w:val="24"/>
          <w:szCs w:val="24"/>
        </w:rPr>
        <w:t>, относящихся ко второму сектору, позволяли им</w:t>
      </w:r>
      <w:r w:rsidR="0070063F">
        <w:rPr>
          <w:rFonts w:ascii="Times New Roman" w:hAnsi="Times New Roman" w:cs="Times New Roman"/>
          <w:sz w:val="24"/>
          <w:szCs w:val="24"/>
        </w:rPr>
        <w:t>,</w:t>
      </w:r>
      <w:r>
        <w:rPr>
          <w:rFonts w:ascii="Times New Roman" w:hAnsi="Times New Roman" w:cs="Times New Roman"/>
          <w:sz w:val="24"/>
          <w:szCs w:val="24"/>
        </w:rPr>
        <w:t xml:space="preserve"> также как и компаниям первого сектора</w:t>
      </w:r>
      <w:r w:rsidR="0070063F">
        <w:rPr>
          <w:rFonts w:ascii="Times New Roman" w:hAnsi="Times New Roman" w:cs="Times New Roman"/>
          <w:sz w:val="24"/>
          <w:szCs w:val="24"/>
        </w:rPr>
        <w:t>,</w:t>
      </w:r>
      <w:r>
        <w:rPr>
          <w:rFonts w:ascii="Times New Roman" w:hAnsi="Times New Roman" w:cs="Times New Roman"/>
          <w:sz w:val="24"/>
          <w:szCs w:val="24"/>
        </w:rPr>
        <w:t xml:space="preserve"> выходить на глобальные рынки для привлечения заимствований, но создавали условия и для вывода капитала за рубеж. </w:t>
      </w:r>
    </w:p>
    <w:p w14:paraId="10334890" w14:textId="77777777" w:rsidR="006E4AC5" w:rsidRPr="009310E6" w:rsidRDefault="006E4AC5" w:rsidP="006E4AC5">
      <w:pPr>
        <w:rPr>
          <w:rFonts w:ascii="Times New Roman" w:hAnsi="Times New Roman" w:cs="Times New Roman"/>
          <w:b/>
          <w:sz w:val="24"/>
          <w:szCs w:val="24"/>
        </w:rPr>
      </w:pPr>
      <w:r w:rsidRPr="009310E6">
        <w:rPr>
          <w:rFonts w:ascii="Times New Roman" w:hAnsi="Times New Roman" w:cs="Times New Roman"/>
          <w:b/>
          <w:sz w:val="24"/>
          <w:szCs w:val="24"/>
        </w:rPr>
        <w:t xml:space="preserve">Таблица 3.2. Особенности </w:t>
      </w:r>
      <w:proofErr w:type="spellStart"/>
      <w:r w:rsidRPr="009310E6">
        <w:rPr>
          <w:rFonts w:ascii="Times New Roman" w:hAnsi="Times New Roman" w:cs="Times New Roman"/>
          <w:b/>
          <w:sz w:val="24"/>
          <w:szCs w:val="24"/>
        </w:rPr>
        <w:t>макросекторов</w:t>
      </w:r>
      <w:proofErr w:type="spellEnd"/>
      <w:r w:rsidRPr="009310E6">
        <w:rPr>
          <w:rFonts w:ascii="Times New Roman" w:hAnsi="Times New Roman" w:cs="Times New Roman"/>
          <w:b/>
          <w:sz w:val="24"/>
          <w:szCs w:val="24"/>
        </w:rPr>
        <w:t>.</w:t>
      </w:r>
    </w:p>
    <w:tbl>
      <w:tblPr>
        <w:tblStyle w:val="1"/>
        <w:tblW w:w="0" w:type="auto"/>
        <w:tblLook w:val="04A0" w:firstRow="1" w:lastRow="0" w:firstColumn="1" w:lastColumn="0" w:noHBand="0" w:noVBand="1"/>
      </w:tblPr>
      <w:tblGrid>
        <w:gridCol w:w="2414"/>
        <w:gridCol w:w="2414"/>
        <w:gridCol w:w="2415"/>
        <w:gridCol w:w="2415"/>
      </w:tblGrid>
      <w:tr w:rsidR="006E4AC5" w:rsidRPr="00996FD5" w14:paraId="32D84DC0" w14:textId="77777777" w:rsidTr="009310E6">
        <w:trPr>
          <w:trHeight w:val="839"/>
        </w:trPr>
        <w:tc>
          <w:tcPr>
            <w:tcW w:w="2414" w:type="dxa"/>
          </w:tcPr>
          <w:p w14:paraId="1A737ABB" w14:textId="77777777" w:rsidR="006E4AC5" w:rsidRPr="00941C33" w:rsidRDefault="006E4AC5" w:rsidP="006E4AC5">
            <w:pPr>
              <w:rPr>
                <w:rFonts w:ascii="Times New Roman" w:hAnsi="Times New Roman" w:cs="Times New Roman"/>
              </w:rPr>
            </w:pPr>
          </w:p>
        </w:tc>
        <w:tc>
          <w:tcPr>
            <w:tcW w:w="2414" w:type="dxa"/>
          </w:tcPr>
          <w:p w14:paraId="5B38172C" w14:textId="77777777" w:rsidR="006E4AC5" w:rsidRPr="00941C33" w:rsidRDefault="006E4AC5" w:rsidP="006E4AC5">
            <w:pPr>
              <w:jc w:val="center"/>
              <w:rPr>
                <w:rFonts w:ascii="Times New Roman" w:hAnsi="Times New Roman" w:cs="Times New Roman"/>
                <w:lang w:val="en-US"/>
              </w:rPr>
            </w:pPr>
            <w:r w:rsidRPr="00941C33">
              <w:rPr>
                <w:rFonts w:ascii="Times New Roman" w:hAnsi="Times New Roman" w:cs="Times New Roman"/>
              </w:rPr>
              <w:t>Сырьев</w:t>
            </w:r>
            <w:r>
              <w:rPr>
                <w:rFonts w:ascii="Times New Roman" w:hAnsi="Times New Roman" w:cs="Times New Roman"/>
              </w:rPr>
              <w:t>ой бизнес</w:t>
            </w:r>
          </w:p>
          <w:p w14:paraId="11DDD884" w14:textId="77777777" w:rsidR="006E4AC5" w:rsidRPr="00941C33" w:rsidRDefault="006E4AC5" w:rsidP="006E4AC5">
            <w:pPr>
              <w:jc w:val="center"/>
              <w:rPr>
                <w:rFonts w:ascii="Times New Roman" w:hAnsi="Times New Roman" w:cs="Times New Roman"/>
                <w:lang w:val="en-US"/>
              </w:rPr>
            </w:pPr>
            <w:r w:rsidRPr="00941C33">
              <w:rPr>
                <w:rFonts w:ascii="Times New Roman" w:hAnsi="Times New Roman" w:cs="Times New Roman"/>
              </w:rPr>
              <w:t>(</w:t>
            </w:r>
            <w:r w:rsidRPr="00941C33">
              <w:rPr>
                <w:rFonts w:ascii="Times New Roman" w:hAnsi="Times New Roman" w:cs="Times New Roman"/>
                <w:lang w:val="de-DE"/>
              </w:rPr>
              <w:t>I</w:t>
            </w:r>
            <w:r w:rsidRPr="00941C33">
              <w:rPr>
                <w:rFonts w:ascii="Times New Roman" w:hAnsi="Times New Roman" w:cs="Times New Roman"/>
                <w:lang w:val="en-US"/>
              </w:rPr>
              <w:t>)</w:t>
            </w:r>
          </w:p>
        </w:tc>
        <w:tc>
          <w:tcPr>
            <w:tcW w:w="2415" w:type="dxa"/>
          </w:tcPr>
          <w:p w14:paraId="06C7F827" w14:textId="77777777" w:rsidR="006E4AC5" w:rsidRPr="00941C33" w:rsidRDefault="006E4AC5" w:rsidP="006E4AC5">
            <w:pPr>
              <w:jc w:val="center"/>
              <w:rPr>
                <w:rFonts w:ascii="Times New Roman" w:hAnsi="Times New Roman" w:cs="Times New Roman"/>
                <w:lang w:val="en-US"/>
              </w:rPr>
            </w:pPr>
            <w:r w:rsidRPr="00941C33">
              <w:rPr>
                <w:rFonts w:ascii="Times New Roman" w:hAnsi="Times New Roman" w:cs="Times New Roman"/>
              </w:rPr>
              <w:t xml:space="preserve">Крупный </w:t>
            </w:r>
            <w:proofErr w:type="spellStart"/>
            <w:r>
              <w:rPr>
                <w:rFonts w:ascii="Times New Roman" w:hAnsi="Times New Roman" w:cs="Times New Roman"/>
              </w:rPr>
              <w:t>несырьевой</w:t>
            </w:r>
            <w:proofErr w:type="spellEnd"/>
            <w:r>
              <w:rPr>
                <w:rFonts w:ascii="Times New Roman" w:hAnsi="Times New Roman" w:cs="Times New Roman"/>
              </w:rPr>
              <w:t xml:space="preserve"> </w:t>
            </w:r>
            <w:r w:rsidRPr="00941C33">
              <w:rPr>
                <w:rFonts w:ascii="Times New Roman" w:hAnsi="Times New Roman" w:cs="Times New Roman"/>
              </w:rPr>
              <w:t>бизнес</w:t>
            </w:r>
          </w:p>
          <w:p w14:paraId="4087AC7C" w14:textId="77777777" w:rsidR="006E4AC5" w:rsidRPr="00941C33" w:rsidRDefault="006E4AC5" w:rsidP="006E4AC5">
            <w:pPr>
              <w:jc w:val="center"/>
              <w:rPr>
                <w:rFonts w:ascii="Times New Roman" w:hAnsi="Times New Roman" w:cs="Times New Roman"/>
                <w:lang w:val="en-US"/>
              </w:rPr>
            </w:pPr>
            <w:r w:rsidRPr="00941C33">
              <w:rPr>
                <w:rFonts w:ascii="Times New Roman" w:hAnsi="Times New Roman" w:cs="Times New Roman"/>
              </w:rPr>
              <w:t>(</w:t>
            </w:r>
            <w:r w:rsidRPr="00941C33">
              <w:rPr>
                <w:rFonts w:ascii="Times New Roman" w:hAnsi="Times New Roman" w:cs="Times New Roman"/>
                <w:lang w:val="de-DE"/>
              </w:rPr>
              <w:t>II</w:t>
            </w:r>
            <w:r w:rsidRPr="00941C33">
              <w:rPr>
                <w:rFonts w:ascii="Times New Roman" w:hAnsi="Times New Roman" w:cs="Times New Roman"/>
                <w:lang w:val="en-US"/>
              </w:rPr>
              <w:t>)</w:t>
            </w:r>
          </w:p>
        </w:tc>
        <w:tc>
          <w:tcPr>
            <w:tcW w:w="2415" w:type="dxa"/>
          </w:tcPr>
          <w:p w14:paraId="2FF0F35B" w14:textId="77777777" w:rsidR="006E4AC5" w:rsidRPr="00941C33" w:rsidRDefault="006E4AC5" w:rsidP="006E4AC5">
            <w:pPr>
              <w:jc w:val="center"/>
              <w:rPr>
                <w:rFonts w:ascii="Times New Roman" w:hAnsi="Times New Roman" w:cs="Times New Roman"/>
              </w:rPr>
            </w:pPr>
            <w:r w:rsidRPr="00941C33">
              <w:rPr>
                <w:rFonts w:ascii="Times New Roman" w:hAnsi="Times New Roman" w:cs="Times New Roman"/>
              </w:rPr>
              <w:t xml:space="preserve">Малый и средний </w:t>
            </w:r>
            <w:proofErr w:type="spellStart"/>
            <w:r>
              <w:rPr>
                <w:rFonts w:ascii="Times New Roman" w:hAnsi="Times New Roman" w:cs="Times New Roman"/>
              </w:rPr>
              <w:t>несырьевой</w:t>
            </w:r>
            <w:proofErr w:type="spellEnd"/>
            <w:r>
              <w:rPr>
                <w:rFonts w:ascii="Times New Roman" w:hAnsi="Times New Roman" w:cs="Times New Roman"/>
              </w:rPr>
              <w:t xml:space="preserve"> </w:t>
            </w:r>
            <w:r w:rsidRPr="00941C33">
              <w:rPr>
                <w:rFonts w:ascii="Times New Roman" w:hAnsi="Times New Roman" w:cs="Times New Roman"/>
              </w:rPr>
              <w:t>бизнес</w:t>
            </w:r>
          </w:p>
          <w:p w14:paraId="49B4A986" w14:textId="77777777" w:rsidR="006E4AC5" w:rsidRPr="00941C33" w:rsidRDefault="006E4AC5" w:rsidP="006E4AC5">
            <w:pPr>
              <w:jc w:val="center"/>
              <w:rPr>
                <w:rFonts w:ascii="Times New Roman" w:hAnsi="Times New Roman" w:cs="Times New Roman"/>
              </w:rPr>
            </w:pPr>
            <w:r w:rsidRPr="00941C33">
              <w:rPr>
                <w:rFonts w:ascii="Times New Roman" w:hAnsi="Times New Roman" w:cs="Times New Roman"/>
              </w:rPr>
              <w:t>(</w:t>
            </w:r>
            <w:r w:rsidRPr="00941C33">
              <w:rPr>
                <w:rFonts w:ascii="Times New Roman" w:hAnsi="Times New Roman" w:cs="Times New Roman"/>
                <w:lang w:val="de-DE"/>
              </w:rPr>
              <w:t>III</w:t>
            </w:r>
            <w:r w:rsidRPr="00941C33">
              <w:rPr>
                <w:rFonts w:ascii="Times New Roman" w:hAnsi="Times New Roman" w:cs="Times New Roman"/>
              </w:rPr>
              <w:t>)</w:t>
            </w:r>
          </w:p>
        </w:tc>
      </w:tr>
      <w:tr w:rsidR="006E4AC5" w:rsidRPr="00996FD5" w14:paraId="0F9AD357" w14:textId="77777777" w:rsidTr="009310E6">
        <w:trPr>
          <w:trHeight w:val="420"/>
        </w:trPr>
        <w:tc>
          <w:tcPr>
            <w:tcW w:w="2414" w:type="dxa"/>
          </w:tcPr>
          <w:p w14:paraId="2F2B90F3" w14:textId="77777777" w:rsidR="006E4AC5" w:rsidRPr="00941C33" w:rsidRDefault="006E4AC5" w:rsidP="006E4AC5">
            <w:pPr>
              <w:rPr>
                <w:rFonts w:ascii="Times New Roman" w:hAnsi="Times New Roman" w:cs="Times New Roman"/>
                <w:lang w:val="en-US"/>
              </w:rPr>
            </w:pPr>
            <w:r w:rsidRPr="00941C33">
              <w:rPr>
                <w:rFonts w:ascii="Times New Roman" w:hAnsi="Times New Roman" w:cs="Times New Roman"/>
              </w:rPr>
              <w:t>Возможная доходность</w:t>
            </w:r>
          </w:p>
        </w:tc>
        <w:tc>
          <w:tcPr>
            <w:tcW w:w="2414" w:type="dxa"/>
          </w:tcPr>
          <w:p w14:paraId="356477B8" w14:textId="77777777" w:rsidR="006E4AC5" w:rsidRPr="00941C33" w:rsidRDefault="006E4AC5" w:rsidP="006E4AC5">
            <w:pPr>
              <w:jc w:val="center"/>
              <w:rPr>
                <w:rFonts w:ascii="Times New Roman" w:hAnsi="Times New Roman" w:cs="Times New Roman"/>
              </w:rPr>
            </w:pPr>
            <w:r w:rsidRPr="00941C33">
              <w:rPr>
                <w:rFonts w:ascii="Times New Roman" w:hAnsi="Times New Roman" w:cs="Times New Roman"/>
              </w:rPr>
              <w:t>20% и более</w:t>
            </w:r>
          </w:p>
        </w:tc>
        <w:tc>
          <w:tcPr>
            <w:tcW w:w="2415" w:type="dxa"/>
          </w:tcPr>
          <w:p w14:paraId="6A51A595" w14:textId="77777777" w:rsidR="006E4AC5" w:rsidRPr="00941C33" w:rsidRDefault="006E4AC5" w:rsidP="006E4AC5">
            <w:pPr>
              <w:jc w:val="center"/>
              <w:rPr>
                <w:rFonts w:ascii="Times New Roman" w:hAnsi="Times New Roman" w:cs="Times New Roman"/>
              </w:rPr>
            </w:pPr>
            <w:r w:rsidRPr="00941C33">
              <w:rPr>
                <w:rFonts w:ascii="Times New Roman" w:hAnsi="Times New Roman" w:cs="Times New Roman"/>
              </w:rPr>
              <w:t>9-12%</w:t>
            </w:r>
          </w:p>
        </w:tc>
        <w:tc>
          <w:tcPr>
            <w:tcW w:w="2415" w:type="dxa"/>
          </w:tcPr>
          <w:p w14:paraId="594A39DE" w14:textId="77777777" w:rsidR="006E4AC5" w:rsidRPr="00941C33" w:rsidRDefault="006E4AC5" w:rsidP="006E4AC5">
            <w:pPr>
              <w:jc w:val="center"/>
              <w:rPr>
                <w:rFonts w:ascii="Times New Roman" w:hAnsi="Times New Roman" w:cs="Times New Roman"/>
              </w:rPr>
            </w:pPr>
            <w:r w:rsidRPr="00941C33">
              <w:rPr>
                <w:rFonts w:ascii="Times New Roman" w:hAnsi="Times New Roman" w:cs="Times New Roman"/>
              </w:rPr>
              <w:t>5-6%</w:t>
            </w:r>
          </w:p>
        </w:tc>
      </w:tr>
      <w:tr w:rsidR="006E4AC5" w:rsidRPr="00996FD5" w14:paraId="6E2B05E9" w14:textId="77777777" w:rsidTr="009310E6">
        <w:trPr>
          <w:trHeight w:val="404"/>
        </w:trPr>
        <w:tc>
          <w:tcPr>
            <w:tcW w:w="2414" w:type="dxa"/>
          </w:tcPr>
          <w:p w14:paraId="41AA7457" w14:textId="77777777" w:rsidR="006E4AC5" w:rsidRPr="00941C33" w:rsidRDefault="006E4AC5" w:rsidP="006E4AC5">
            <w:pPr>
              <w:rPr>
                <w:rFonts w:ascii="Times New Roman" w:hAnsi="Times New Roman" w:cs="Times New Roman"/>
              </w:rPr>
            </w:pPr>
            <w:r w:rsidRPr="00941C33">
              <w:rPr>
                <w:rFonts w:ascii="Times New Roman" w:hAnsi="Times New Roman" w:cs="Times New Roman"/>
              </w:rPr>
              <w:t>Ожидаемая доходность</w:t>
            </w:r>
          </w:p>
        </w:tc>
        <w:tc>
          <w:tcPr>
            <w:tcW w:w="2414" w:type="dxa"/>
          </w:tcPr>
          <w:p w14:paraId="433E0F3D" w14:textId="77777777" w:rsidR="006E4AC5" w:rsidRPr="00941C33" w:rsidRDefault="006E4AC5" w:rsidP="006E4AC5">
            <w:pPr>
              <w:jc w:val="center"/>
              <w:rPr>
                <w:rFonts w:ascii="Times New Roman" w:hAnsi="Times New Roman" w:cs="Times New Roman"/>
              </w:rPr>
            </w:pPr>
            <w:r w:rsidRPr="00941C33">
              <w:rPr>
                <w:rFonts w:ascii="Times New Roman" w:hAnsi="Times New Roman" w:cs="Times New Roman"/>
              </w:rPr>
              <w:t>20% и более</w:t>
            </w:r>
          </w:p>
        </w:tc>
        <w:tc>
          <w:tcPr>
            <w:tcW w:w="2415" w:type="dxa"/>
          </w:tcPr>
          <w:p w14:paraId="3EDB64A3" w14:textId="77777777" w:rsidR="006E4AC5" w:rsidRPr="00941C33" w:rsidRDefault="006E4AC5" w:rsidP="006E4AC5">
            <w:pPr>
              <w:jc w:val="center"/>
              <w:rPr>
                <w:rFonts w:ascii="Times New Roman" w:hAnsi="Times New Roman" w:cs="Times New Roman"/>
              </w:rPr>
            </w:pPr>
            <w:r w:rsidRPr="00941C33">
              <w:rPr>
                <w:rFonts w:ascii="Times New Roman" w:hAnsi="Times New Roman" w:cs="Times New Roman"/>
              </w:rPr>
              <w:t>20% и более</w:t>
            </w:r>
          </w:p>
        </w:tc>
        <w:tc>
          <w:tcPr>
            <w:tcW w:w="2415" w:type="dxa"/>
          </w:tcPr>
          <w:p w14:paraId="01B09404" w14:textId="77777777" w:rsidR="006E4AC5" w:rsidRPr="00941C33" w:rsidRDefault="006E4AC5" w:rsidP="006E4AC5">
            <w:pPr>
              <w:jc w:val="center"/>
              <w:rPr>
                <w:rFonts w:ascii="Times New Roman" w:hAnsi="Times New Roman" w:cs="Times New Roman"/>
              </w:rPr>
            </w:pPr>
            <w:r w:rsidRPr="00941C33">
              <w:rPr>
                <w:rFonts w:ascii="Times New Roman" w:hAnsi="Times New Roman" w:cs="Times New Roman"/>
              </w:rPr>
              <w:t>20% и более</w:t>
            </w:r>
          </w:p>
        </w:tc>
      </w:tr>
      <w:tr w:rsidR="006E4AC5" w:rsidRPr="00996FD5" w14:paraId="2566FF11" w14:textId="77777777" w:rsidTr="009310E6">
        <w:trPr>
          <w:trHeight w:val="1258"/>
        </w:trPr>
        <w:tc>
          <w:tcPr>
            <w:tcW w:w="2414" w:type="dxa"/>
          </w:tcPr>
          <w:p w14:paraId="038EBF26" w14:textId="77777777" w:rsidR="006E4AC5" w:rsidRPr="00941C33" w:rsidRDefault="006E4AC5" w:rsidP="006E4AC5">
            <w:pPr>
              <w:rPr>
                <w:rFonts w:ascii="Times New Roman" w:hAnsi="Times New Roman" w:cs="Times New Roman"/>
              </w:rPr>
            </w:pPr>
            <w:r w:rsidRPr="00941C33">
              <w:rPr>
                <w:rFonts w:ascii="Times New Roman" w:hAnsi="Times New Roman" w:cs="Times New Roman"/>
              </w:rPr>
              <w:t>Источники избыточного спроса/ Дополнительные ресурсы</w:t>
            </w:r>
          </w:p>
        </w:tc>
        <w:tc>
          <w:tcPr>
            <w:tcW w:w="2414" w:type="dxa"/>
          </w:tcPr>
          <w:p w14:paraId="1647D6D2" w14:textId="77777777" w:rsidR="006E4AC5" w:rsidRPr="00941C33" w:rsidRDefault="006E4AC5" w:rsidP="006E4AC5">
            <w:pPr>
              <w:jc w:val="center"/>
              <w:rPr>
                <w:rFonts w:ascii="Times New Roman" w:hAnsi="Times New Roman" w:cs="Times New Roman"/>
              </w:rPr>
            </w:pPr>
            <w:r w:rsidRPr="00941C33">
              <w:rPr>
                <w:rFonts w:ascii="Times New Roman" w:hAnsi="Times New Roman" w:cs="Times New Roman"/>
              </w:rPr>
              <w:t>Рента</w:t>
            </w:r>
          </w:p>
        </w:tc>
        <w:tc>
          <w:tcPr>
            <w:tcW w:w="2415" w:type="dxa"/>
          </w:tcPr>
          <w:p w14:paraId="5D08EABD" w14:textId="77777777" w:rsidR="006E4AC5" w:rsidRPr="00941C33" w:rsidRDefault="006E4AC5" w:rsidP="006E4AC5">
            <w:pPr>
              <w:jc w:val="center"/>
              <w:rPr>
                <w:rFonts w:ascii="Times New Roman" w:hAnsi="Times New Roman" w:cs="Times New Roman"/>
              </w:rPr>
            </w:pPr>
            <w:r w:rsidRPr="00941C33">
              <w:rPr>
                <w:rFonts w:ascii="Times New Roman" w:hAnsi="Times New Roman" w:cs="Times New Roman"/>
              </w:rPr>
              <w:t>Монополизм</w:t>
            </w:r>
          </w:p>
          <w:p w14:paraId="3A223432" w14:textId="77777777" w:rsidR="006E4AC5" w:rsidRPr="00941C33" w:rsidRDefault="006E4AC5" w:rsidP="006E4AC5">
            <w:pPr>
              <w:jc w:val="center"/>
              <w:rPr>
                <w:rFonts w:ascii="Times New Roman" w:hAnsi="Times New Roman" w:cs="Times New Roman"/>
              </w:rPr>
            </w:pPr>
            <w:proofErr w:type="spellStart"/>
            <w:r w:rsidRPr="00941C33">
              <w:rPr>
                <w:rFonts w:ascii="Times New Roman" w:hAnsi="Times New Roman" w:cs="Times New Roman"/>
              </w:rPr>
              <w:t>Частно</w:t>
            </w:r>
            <w:proofErr w:type="spellEnd"/>
            <w:r w:rsidRPr="00941C33">
              <w:rPr>
                <w:rFonts w:ascii="Times New Roman" w:hAnsi="Times New Roman" w:cs="Times New Roman"/>
              </w:rPr>
              <w:t>-государственное партнерство</w:t>
            </w:r>
          </w:p>
        </w:tc>
        <w:tc>
          <w:tcPr>
            <w:tcW w:w="2415" w:type="dxa"/>
          </w:tcPr>
          <w:p w14:paraId="4D392C58" w14:textId="77777777" w:rsidR="006E4AC5" w:rsidRPr="00941C33" w:rsidRDefault="006E4AC5" w:rsidP="006E4AC5">
            <w:pPr>
              <w:jc w:val="center"/>
              <w:rPr>
                <w:rFonts w:ascii="Times New Roman" w:hAnsi="Times New Roman" w:cs="Times New Roman"/>
              </w:rPr>
            </w:pPr>
            <w:r w:rsidRPr="00941C33">
              <w:rPr>
                <w:rFonts w:ascii="Times New Roman" w:hAnsi="Times New Roman" w:cs="Times New Roman"/>
              </w:rPr>
              <w:t>Избежание налогообложения</w:t>
            </w:r>
          </w:p>
        </w:tc>
      </w:tr>
      <w:tr w:rsidR="006E4AC5" w:rsidRPr="00996FD5" w14:paraId="67CC94AD" w14:textId="77777777" w:rsidTr="009310E6">
        <w:trPr>
          <w:trHeight w:val="1258"/>
        </w:trPr>
        <w:tc>
          <w:tcPr>
            <w:tcW w:w="2414" w:type="dxa"/>
          </w:tcPr>
          <w:p w14:paraId="7B53F382" w14:textId="77777777" w:rsidR="006E4AC5" w:rsidRPr="00941C33" w:rsidRDefault="006E4AC5" w:rsidP="006E4AC5">
            <w:pPr>
              <w:rPr>
                <w:rFonts w:ascii="Times New Roman" w:hAnsi="Times New Roman" w:cs="Times New Roman"/>
              </w:rPr>
            </w:pPr>
            <w:r w:rsidRPr="00941C33">
              <w:rPr>
                <w:rFonts w:ascii="Times New Roman" w:hAnsi="Times New Roman" w:cs="Times New Roman"/>
              </w:rPr>
              <w:t>Изъятия со стороны государства (сверх обычных налогов)</w:t>
            </w:r>
          </w:p>
        </w:tc>
        <w:tc>
          <w:tcPr>
            <w:tcW w:w="2414" w:type="dxa"/>
          </w:tcPr>
          <w:p w14:paraId="5EB1B53D" w14:textId="77777777" w:rsidR="006E4AC5" w:rsidRPr="00941C33" w:rsidRDefault="006E4AC5" w:rsidP="006E4AC5">
            <w:pPr>
              <w:jc w:val="center"/>
              <w:rPr>
                <w:rFonts w:ascii="Times New Roman" w:hAnsi="Times New Roman" w:cs="Times New Roman"/>
              </w:rPr>
            </w:pPr>
            <w:r w:rsidRPr="00941C33">
              <w:rPr>
                <w:rFonts w:ascii="Times New Roman" w:hAnsi="Times New Roman" w:cs="Times New Roman"/>
              </w:rPr>
              <w:t>Прогрессивные пошлины и НДПИ</w:t>
            </w:r>
          </w:p>
          <w:p w14:paraId="6282DE78" w14:textId="77777777" w:rsidR="006E4AC5" w:rsidRPr="00941C33" w:rsidRDefault="006E4AC5" w:rsidP="006E4AC5">
            <w:pPr>
              <w:jc w:val="center"/>
              <w:rPr>
                <w:rFonts w:ascii="Times New Roman" w:hAnsi="Times New Roman" w:cs="Times New Roman"/>
              </w:rPr>
            </w:pPr>
            <w:proofErr w:type="spellStart"/>
            <w:r w:rsidRPr="00941C33">
              <w:rPr>
                <w:rFonts w:ascii="Times New Roman" w:hAnsi="Times New Roman" w:cs="Times New Roman"/>
              </w:rPr>
              <w:t>Сверхналоговая</w:t>
            </w:r>
            <w:proofErr w:type="spellEnd"/>
            <w:r w:rsidRPr="00941C33">
              <w:rPr>
                <w:rFonts w:ascii="Times New Roman" w:hAnsi="Times New Roman" w:cs="Times New Roman"/>
              </w:rPr>
              <w:t xml:space="preserve"> нагрузка</w:t>
            </w:r>
          </w:p>
        </w:tc>
        <w:tc>
          <w:tcPr>
            <w:tcW w:w="2415" w:type="dxa"/>
          </w:tcPr>
          <w:p w14:paraId="519D7E5B" w14:textId="77777777" w:rsidR="006E4AC5" w:rsidRPr="00941C33" w:rsidRDefault="006E4AC5" w:rsidP="006E4AC5">
            <w:pPr>
              <w:jc w:val="center"/>
              <w:rPr>
                <w:rFonts w:ascii="Times New Roman" w:hAnsi="Times New Roman" w:cs="Times New Roman"/>
              </w:rPr>
            </w:pPr>
            <w:r w:rsidRPr="00941C33">
              <w:rPr>
                <w:rFonts w:ascii="Times New Roman" w:hAnsi="Times New Roman" w:cs="Times New Roman"/>
              </w:rPr>
              <w:t>Акцизы</w:t>
            </w:r>
          </w:p>
          <w:p w14:paraId="22053DF4" w14:textId="77777777" w:rsidR="006E4AC5" w:rsidRPr="00941C33" w:rsidRDefault="006E4AC5" w:rsidP="006E4AC5">
            <w:pPr>
              <w:jc w:val="center"/>
              <w:rPr>
                <w:rFonts w:ascii="Times New Roman" w:hAnsi="Times New Roman" w:cs="Times New Roman"/>
              </w:rPr>
            </w:pPr>
            <w:proofErr w:type="spellStart"/>
            <w:r w:rsidRPr="00941C33">
              <w:rPr>
                <w:rFonts w:ascii="Times New Roman" w:hAnsi="Times New Roman" w:cs="Times New Roman"/>
              </w:rPr>
              <w:t>Сверхналоговая</w:t>
            </w:r>
            <w:proofErr w:type="spellEnd"/>
            <w:r w:rsidRPr="00941C33">
              <w:rPr>
                <w:rFonts w:ascii="Times New Roman" w:hAnsi="Times New Roman" w:cs="Times New Roman"/>
              </w:rPr>
              <w:t xml:space="preserve"> нагрузка (в </w:t>
            </w:r>
            <w:proofErr w:type="spellStart"/>
            <w:r w:rsidRPr="00941C33">
              <w:rPr>
                <w:rFonts w:ascii="Times New Roman" w:hAnsi="Times New Roman" w:cs="Times New Roman"/>
              </w:rPr>
              <w:t>т.ч</w:t>
            </w:r>
            <w:proofErr w:type="spellEnd"/>
            <w:r w:rsidRPr="00941C33">
              <w:rPr>
                <w:rFonts w:ascii="Times New Roman" w:hAnsi="Times New Roman" w:cs="Times New Roman"/>
              </w:rPr>
              <w:t>. в рамках ЧГП)</w:t>
            </w:r>
          </w:p>
        </w:tc>
        <w:tc>
          <w:tcPr>
            <w:tcW w:w="2415" w:type="dxa"/>
          </w:tcPr>
          <w:p w14:paraId="3E268BC3" w14:textId="77777777" w:rsidR="006E4AC5" w:rsidRPr="00941C33" w:rsidRDefault="006E4AC5" w:rsidP="006E4AC5">
            <w:pPr>
              <w:jc w:val="center"/>
              <w:rPr>
                <w:rFonts w:ascii="Times New Roman" w:hAnsi="Times New Roman" w:cs="Times New Roman"/>
              </w:rPr>
            </w:pPr>
            <w:r w:rsidRPr="00941C33">
              <w:rPr>
                <w:rFonts w:ascii="Times New Roman" w:hAnsi="Times New Roman" w:cs="Times New Roman"/>
              </w:rPr>
              <w:t>Коррупция</w:t>
            </w:r>
          </w:p>
        </w:tc>
      </w:tr>
      <w:tr w:rsidR="006E4AC5" w:rsidRPr="00996FD5" w14:paraId="32F90F6D" w14:textId="77777777" w:rsidTr="009310E6">
        <w:trPr>
          <w:trHeight w:val="404"/>
        </w:trPr>
        <w:tc>
          <w:tcPr>
            <w:tcW w:w="2414" w:type="dxa"/>
          </w:tcPr>
          <w:p w14:paraId="2E708CB6" w14:textId="77777777" w:rsidR="006E4AC5" w:rsidRPr="00941C33" w:rsidRDefault="006E4AC5" w:rsidP="006E4AC5">
            <w:pPr>
              <w:rPr>
                <w:rFonts w:ascii="Times New Roman" w:hAnsi="Times New Roman" w:cs="Times New Roman"/>
              </w:rPr>
            </w:pPr>
            <w:r w:rsidRPr="00941C33">
              <w:rPr>
                <w:rFonts w:ascii="Times New Roman" w:hAnsi="Times New Roman" w:cs="Times New Roman"/>
              </w:rPr>
              <w:t>Возможность офшорного ухода</w:t>
            </w:r>
          </w:p>
        </w:tc>
        <w:tc>
          <w:tcPr>
            <w:tcW w:w="2414" w:type="dxa"/>
          </w:tcPr>
          <w:p w14:paraId="2ED2F01E" w14:textId="77777777" w:rsidR="006E4AC5" w:rsidRPr="00941C33" w:rsidRDefault="006E4AC5" w:rsidP="006E4AC5">
            <w:pPr>
              <w:jc w:val="center"/>
              <w:rPr>
                <w:rFonts w:ascii="Times New Roman" w:hAnsi="Times New Roman" w:cs="Times New Roman"/>
              </w:rPr>
            </w:pPr>
            <w:r w:rsidRPr="00941C33">
              <w:rPr>
                <w:rFonts w:ascii="Times New Roman" w:hAnsi="Times New Roman" w:cs="Times New Roman"/>
              </w:rPr>
              <w:t>Да</w:t>
            </w:r>
          </w:p>
        </w:tc>
        <w:tc>
          <w:tcPr>
            <w:tcW w:w="2415" w:type="dxa"/>
          </w:tcPr>
          <w:p w14:paraId="6D528C1B" w14:textId="77777777" w:rsidR="006E4AC5" w:rsidRPr="00941C33" w:rsidRDefault="006E4AC5" w:rsidP="006E4AC5">
            <w:pPr>
              <w:jc w:val="center"/>
              <w:rPr>
                <w:rFonts w:ascii="Times New Roman" w:hAnsi="Times New Roman" w:cs="Times New Roman"/>
              </w:rPr>
            </w:pPr>
            <w:r w:rsidRPr="00941C33">
              <w:rPr>
                <w:rFonts w:ascii="Times New Roman" w:hAnsi="Times New Roman" w:cs="Times New Roman"/>
              </w:rPr>
              <w:t>Да</w:t>
            </w:r>
          </w:p>
        </w:tc>
        <w:tc>
          <w:tcPr>
            <w:tcW w:w="2415" w:type="dxa"/>
          </w:tcPr>
          <w:p w14:paraId="12D5E684" w14:textId="77777777" w:rsidR="006E4AC5" w:rsidRPr="00941C33" w:rsidRDefault="006E4AC5" w:rsidP="006E4AC5">
            <w:pPr>
              <w:jc w:val="center"/>
              <w:rPr>
                <w:rFonts w:ascii="Times New Roman" w:hAnsi="Times New Roman" w:cs="Times New Roman"/>
              </w:rPr>
            </w:pPr>
            <w:r w:rsidRPr="00941C33">
              <w:rPr>
                <w:rFonts w:ascii="Times New Roman" w:hAnsi="Times New Roman" w:cs="Times New Roman"/>
              </w:rPr>
              <w:t>Нет</w:t>
            </w:r>
          </w:p>
        </w:tc>
      </w:tr>
    </w:tbl>
    <w:p w14:paraId="17D1884A" w14:textId="77777777" w:rsidR="006E4AC5" w:rsidRPr="009310E6" w:rsidRDefault="006E4AC5" w:rsidP="006E4AC5">
      <w:pPr>
        <w:spacing w:line="360" w:lineRule="auto"/>
        <w:ind w:left="-567" w:firstLine="567"/>
        <w:jc w:val="both"/>
        <w:rPr>
          <w:rFonts w:ascii="Times New Roman" w:hAnsi="Times New Roman" w:cs="Times New Roman"/>
          <w:i/>
          <w:sz w:val="24"/>
          <w:szCs w:val="24"/>
        </w:rPr>
      </w:pPr>
      <w:r w:rsidRPr="009310E6">
        <w:rPr>
          <w:rFonts w:ascii="Times New Roman" w:hAnsi="Times New Roman" w:cs="Times New Roman"/>
          <w:i/>
          <w:sz w:val="24"/>
          <w:szCs w:val="24"/>
        </w:rPr>
        <w:t>Источник; НИУ ВШЭ</w:t>
      </w:r>
    </w:p>
    <w:p w14:paraId="5C66417E" w14:textId="2C5BEB79" w:rsidR="004C7DBD" w:rsidRDefault="006E4AC5" w:rsidP="006E4AC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Наконец, третий сектор, включающий в себя предприятия малого и среднего бизнеса в основном в торговле и сфере услуг (назовем его «Малый и средний </w:t>
      </w:r>
      <w:proofErr w:type="spellStart"/>
      <w:r>
        <w:rPr>
          <w:rFonts w:ascii="Times New Roman" w:hAnsi="Times New Roman" w:cs="Times New Roman"/>
          <w:sz w:val="24"/>
          <w:szCs w:val="24"/>
        </w:rPr>
        <w:t>несырьевой</w:t>
      </w:r>
      <w:proofErr w:type="spellEnd"/>
      <w:r>
        <w:rPr>
          <w:rFonts w:ascii="Times New Roman" w:hAnsi="Times New Roman" w:cs="Times New Roman"/>
          <w:sz w:val="24"/>
          <w:szCs w:val="24"/>
        </w:rPr>
        <w:t xml:space="preserve"> бизнес»), также получил возможности для развития за счет роста внутреннего спроса, однако не имел доступа к государственным программам поддержки</w:t>
      </w:r>
      <w:r w:rsidR="004C7DBD">
        <w:rPr>
          <w:rFonts w:ascii="Times New Roman" w:hAnsi="Times New Roman" w:cs="Times New Roman"/>
          <w:sz w:val="24"/>
          <w:szCs w:val="24"/>
        </w:rPr>
        <w:t xml:space="preserve"> и к финансированию через заимствование/размещение на глобальном финансовом рынке. Небольшой размер активов не позволял этому бизнесу использовать</w:t>
      </w:r>
      <w:r w:rsidR="00CE4056">
        <w:rPr>
          <w:rFonts w:ascii="Times New Roman" w:hAnsi="Times New Roman" w:cs="Times New Roman"/>
          <w:sz w:val="24"/>
          <w:szCs w:val="24"/>
        </w:rPr>
        <w:t xml:space="preserve"> оффшорные </w:t>
      </w:r>
      <w:r w:rsidR="004C7DBD">
        <w:rPr>
          <w:rFonts w:ascii="Times New Roman" w:hAnsi="Times New Roman" w:cs="Times New Roman"/>
          <w:sz w:val="24"/>
          <w:szCs w:val="24"/>
        </w:rPr>
        <w:t xml:space="preserve">схемы, что </w:t>
      </w:r>
      <w:r w:rsidR="00CE4056">
        <w:rPr>
          <w:rFonts w:ascii="Times New Roman" w:hAnsi="Times New Roman" w:cs="Times New Roman"/>
          <w:sz w:val="24"/>
          <w:szCs w:val="24"/>
        </w:rPr>
        <w:t>способствовало удержанию доходности на более низком уровне.</w:t>
      </w:r>
      <w:r w:rsidR="004C7DB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7E31EFD" w14:textId="5D654B5C" w:rsidR="004E4327" w:rsidRDefault="006E4AC5" w:rsidP="00AC1A0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расчетам, сделанным на основании статистических данных, средняя рентабельность в этом </w:t>
      </w:r>
      <w:proofErr w:type="spellStart"/>
      <w:r>
        <w:rPr>
          <w:rFonts w:ascii="Times New Roman" w:hAnsi="Times New Roman" w:cs="Times New Roman"/>
          <w:sz w:val="24"/>
          <w:szCs w:val="24"/>
        </w:rPr>
        <w:t>макросекторе</w:t>
      </w:r>
      <w:proofErr w:type="spellEnd"/>
      <w:r>
        <w:rPr>
          <w:rFonts w:ascii="Times New Roman" w:hAnsi="Times New Roman" w:cs="Times New Roman"/>
          <w:sz w:val="24"/>
          <w:szCs w:val="24"/>
        </w:rPr>
        <w:t xml:space="preserve"> на протяжении последнего десятилетия не превышала 5-6%, то есть даже не покрывала инфляции. Тем не менее, желаемым ориентиром для малого и среднего </w:t>
      </w:r>
      <w:proofErr w:type="spellStart"/>
      <w:r>
        <w:rPr>
          <w:rFonts w:ascii="Times New Roman" w:hAnsi="Times New Roman" w:cs="Times New Roman"/>
          <w:sz w:val="24"/>
          <w:szCs w:val="24"/>
        </w:rPr>
        <w:t>несырьевого</w:t>
      </w:r>
      <w:proofErr w:type="spellEnd"/>
      <w:r>
        <w:rPr>
          <w:rFonts w:ascii="Times New Roman" w:hAnsi="Times New Roman" w:cs="Times New Roman"/>
          <w:sz w:val="24"/>
          <w:szCs w:val="24"/>
        </w:rPr>
        <w:t xml:space="preserve"> бизнеса, также, как и для крупного, являлась доходность сырьевых компаний. Для повышения своей рентабельности предприятия третьего сектора, не обладая достаточными ресурсами для организации офшорных схем вывода капитала, использовали более простые способы увода оборота в тень внутри страны. При этом, предприятия этого сектора, являясь наименее защищенными, нес</w:t>
      </w:r>
      <w:r w:rsidR="00AC1A0B">
        <w:rPr>
          <w:rFonts w:ascii="Times New Roman" w:hAnsi="Times New Roman" w:cs="Times New Roman"/>
          <w:sz w:val="24"/>
          <w:szCs w:val="24"/>
        </w:rPr>
        <w:t>ут</w:t>
      </w:r>
      <w:r>
        <w:rPr>
          <w:rFonts w:ascii="Times New Roman" w:hAnsi="Times New Roman" w:cs="Times New Roman"/>
          <w:sz w:val="24"/>
          <w:szCs w:val="24"/>
        </w:rPr>
        <w:t xml:space="preserve"> основную коррупционную нагрузку.</w:t>
      </w:r>
      <w:r w:rsidR="00CE4056">
        <w:rPr>
          <w:rFonts w:ascii="Times New Roman" w:hAnsi="Times New Roman" w:cs="Times New Roman"/>
          <w:sz w:val="24"/>
          <w:szCs w:val="24"/>
        </w:rPr>
        <w:t xml:space="preserve"> О масштабах «серого» оборота малого и среднего бизнеса можно судить по </w:t>
      </w:r>
      <w:r w:rsidR="00AC1A0B">
        <w:rPr>
          <w:rFonts w:ascii="Times New Roman" w:hAnsi="Times New Roman" w:cs="Times New Roman"/>
          <w:sz w:val="24"/>
          <w:szCs w:val="24"/>
        </w:rPr>
        <w:t xml:space="preserve">доле неформальной занятости в России. </w:t>
      </w:r>
    </w:p>
    <w:p w14:paraId="4BB9B1CB" w14:textId="4366E62B" w:rsidR="004E4327" w:rsidRPr="009310E6" w:rsidRDefault="004E4327" w:rsidP="00815B91">
      <w:pPr>
        <w:spacing w:line="360" w:lineRule="auto"/>
        <w:ind w:firstLine="709"/>
        <w:jc w:val="both"/>
        <w:rPr>
          <w:rFonts w:ascii="Times New Roman" w:hAnsi="Times New Roman" w:cs="Times New Roman"/>
          <w:b/>
          <w:sz w:val="24"/>
          <w:szCs w:val="24"/>
        </w:rPr>
      </w:pPr>
      <w:r w:rsidRPr="009310E6">
        <w:rPr>
          <w:rFonts w:ascii="Times New Roman" w:hAnsi="Times New Roman" w:cs="Times New Roman"/>
          <w:b/>
          <w:sz w:val="24"/>
          <w:szCs w:val="24"/>
        </w:rPr>
        <w:t>Рис. 3.2. Рост ВВП и динамика доли неформальной занятости, %</w:t>
      </w:r>
    </w:p>
    <w:p w14:paraId="535E9AF1" w14:textId="63DFE1AC" w:rsidR="004E4327" w:rsidRDefault="004E4327" w:rsidP="009310E6">
      <w:pPr>
        <w:spacing w:line="360" w:lineRule="auto"/>
        <w:ind w:firstLine="709"/>
        <w:jc w:val="both"/>
        <w:rPr>
          <w:rFonts w:ascii="Times New Roman" w:hAnsi="Times New Roman" w:cs="Times New Roman"/>
          <w:sz w:val="24"/>
          <w:szCs w:val="24"/>
        </w:rPr>
      </w:pPr>
      <w:r w:rsidRPr="008552EB">
        <w:rPr>
          <w:rFonts w:ascii="Times New Roman" w:hAnsi="Times New Roman" w:cs="Times New Roman"/>
          <w:noProof/>
          <w:sz w:val="24"/>
          <w:szCs w:val="24"/>
          <w:lang w:eastAsia="ru-RU"/>
        </w:rPr>
        <w:drawing>
          <wp:inline distT="0" distB="0" distL="0" distR="0" wp14:anchorId="4C82600B" wp14:editId="30BA554E">
            <wp:extent cx="5146881" cy="3215898"/>
            <wp:effectExtent l="0" t="0" r="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8519" cy="3210673"/>
                    </a:xfrm>
                    <a:prstGeom prst="rect">
                      <a:avLst/>
                    </a:prstGeom>
                    <a:noFill/>
                  </pic:spPr>
                </pic:pic>
              </a:graphicData>
            </a:graphic>
          </wp:inline>
        </w:drawing>
      </w:r>
    </w:p>
    <w:p w14:paraId="26AB187B" w14:textId="57B7346F" w:rsidR="004E4327" w:rsidRPr="009310E6" w:rsidRDefault="004E4327" w:rsidP="009310E6">
      <w:pPr>
        <w:spacing w:line="360" w:lineRule="auto"/>
        <w:ind w:firstLine="709"/>
        <w:jc w:val="both"/>
        <w:rPr>
          <w:rFonts w:ascii="Times New Roman" w:hAnsi="Times New Roman" w:cs="Times New Roman"/>
          <w:i/>
          <w:sz w:val="24"/>
          <w:szCs w:val="24"/>
        </w:rPr>
      </w:pPr>
      <w:r w:rsidRPr="009310E6">
        <w:rPr>
          <w:rFonts w:ascii="Times New Roman" w:hAnsi="Times New Roman" w:cs="Times New Roman"/>
          <w:i/>
          <w:sz w:val="24"/>
          <w:szCs w:val="24"/>
        </w:rPr>
        <w:t>Источник: Росстат, НИУ ВШЭ</w:t>
      </w:r>
    </w:p>
    <w:p w14:paraId="37739106" w14:textId="5167EBA5" w:rsidR="00AC1A0B" w:rsidRDefault="00AC1A0B" w:rsidP="006E4AC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Регионы несут основную нагрузку социальных выплат, не располагая достаточными доходами. </w:t>
      </w:r>
      <w:r w:rsidR="008A665E">
        <w:rPr>
          <w:rFonts w:ascii="Times New Roman" w:hAnsi="Times New Roman" w:cs="Times New Roman"/>
          <w:sz w:val="24"/>
          <w:szCs w:val="24"/>
        </w:rPr>
        <w:t>Недостаточная налоговая база</w:t>
      </w:r>
      <w:r>
        <w:rPr>
          <w:rFonts w:ascii="Times New Roman" w:hAnsi="Times New Roman" w:cs="Times New Roman"/>
          <w:sz w:val="24"/>
          <w:szCs w:val="24"/>
        </w:rPr>
        <w:t xml:space="preserve"> объективно подталкивает</w:t>
      </w:r>
      <w:r w:rsidR="008A665E">
        <w:rPr>
          <w:rFonts w:ascii="Times New Roman" w:hAnsi="Times New Roman" w:cs="Times New Roman"/>
          <w:sz w:val="24"/>
          <w:szCs w:val="24"/>
        </w:rPr>
        <w:t xml:space="preserve"> руководство регионов к давлению на бизнес с целью получить дополнительные ресурсы для «нестандартных» социальных проектов – в основном в сфере гражданского строительства, поддержки спорта и культуры, а также религиозных организаций. Такая нагрузка может достигать нескольких процентов от оборота компании. Поскольку </w:t>
      </w:r>
      <w:r w:rsidR="00B41F14">
        <w:rPr>
          <w:rFonts w:ascii="Times New Roman" w:hAnsi="Times New Roman" w:cs="Times New Roman"/>
          <w:sz w:val="24"/>
          <w:szCs w:val="24"/>
        </w:rPr>
        <w:t>речь идет о неформальных (</w:t>
      </w:r>
      <w:proofErr w:type="spellStart"/>
      <w:r w:rsidR="00B41F14">
        <w:rPr>
          <w:rFonts w:ascii="Times New Roman" w:hAnsi="Times New Roman" w:cs="Times New Roman"/>
          <w:sz w:val="24"/>
          <w:szCs w:val="24"/>
        </w:rPr>
        <w:t>неформализуемых</w:t>
      </w:r>
      <w:proofErr w:type="spellEnd"/>
      <w:r w:rsidR="00B41F14">
        <w:rPr>
          <w:rFonts w:ascii="Times New Roman" w:hAnsi="Times New Roman" w:cs="Times New Roman"/>
          <w:sz w:val="24"/>
          <w:szCs w:val="24"/>
        </w:rPr>
        <w:t>, незащищаемых контрактами) отношениях, оптимальной формой становя</w:t>
      </w:r>
      <w:r w:rsidR="008A665E">
        <w:rPr>
          <w:rFonts w:ascii="Times New Roman" w:hAnsi="Times New Roman" w:cs="Times New Roman"/>
          <w:sz w:val="24"/>
          <w:szCs w:val="24"/>
        </w:rPr>
        <w:t xml:space="preserve">тся </w:t>
      </w:r>
      <w:r w:rsidR="00B41F14">
        <w:rPr>
          <w:rFonts w:ascii="Times New Roman" w:hAnsi="Times New Roman" w:cs="Times New Roman"/>
          <w:sz w:val="24"/>
          <w:szCs w:val="24"/>
        </w:rPr>
        <w:t>долгосрочные связи между региональны</w:t>
      </w:r>
      <w:r w:rsidR="008A665E">
        <w:rPr>
          <w:rFonts w:ascii="Times New Roman" w:hAnsi="Times New Roman" w:cs="Times New Roman"/>
          <w:sz w:val="24"/>
          <w:szCs w:val="24"/>
        </w:rPr>
        <w:t>ми администрациями и бизнесом, «социально ответственным» или «понимающим государственные задачи»</w:t>
      </w:r>
      <w:r w:rsidR="00963F38">
        <w:rPr>
          <w:rFonts w:ascii="Times New Roman" w:hAnsi="Times New Roman" w:cs="Times New Roman"/>
          <w:sz w:val="24"/>
          <w:szCs w:val="24"/>
        </w:rPr>
        <w:t>. Нагрузка, таким образом, перекладывается на покупателей товаров и услуг, а власть начинает заботиться о том, чтобы рыночные позиции «близкого бизнеса» оставались неприкосновенными.</w:t>
      </w:r>
      <w:r w:rsidR="006A571A">
        <w:rPr>
          <w:rFonts w:ascii="Times New Roman" w:hAnsi="Times New Roman" w:cs="Times New Roman"/>
          <w:sz w:val="24"/>
          <w:szCs w:val="24"/>
        </w:rPr>
        <w:t xml:space="preserve"> Это ведет к подавлению конкуренции на региональном уровне, даже в таких секторах, где монополия технологически трудно представима (промышленность строительных материалов, дорожное строительство, ритейл).</w:t>
      </w:r>
    </w:p>
    <w:p w14:paraId="1AC7E9F1" w14:textId="029B479D" w:rsidR="006A571A" w:rsidRDefault="006A571A" w:rsidP="006E4AC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Повторяем, такая экономическая система могла достигать рав</w:t>
      </w:r>
      <w:r w:rsidR="00014364">
        <w:rPr>
          <w:rFonts w:ascii="Times New Roman" w:hAnsi="Times New Roman" w:cs="Times New Roman"/>
          <w:sz w:val="24"/>
          <w:szCs w:val="24"/>
        </w:rPr>
        <w:t>новесия не просто в условиях вы</w:t>
      </w:r>
      <w:r>
        <w:rPr>
          <w:rFonts w:ascii="Times New Roman" w:hAnsi="Times New Roman" w:cs="Times New Roman"/>
          <w:sz w:val="24"/>
          <w:szCs w:val="24"/>
        </w:rPr>
        <w:t>соких цен на энергоносители, но в условиях постоянного роста таких цен.</w:t>
      </w:r>
      <w:r w:rsidR="00014364">
        <w:rPr>
          <w:rFonts w:ascii="Times New Roman" w:hAnsi="Times New Roman" w:cs="Times New Roman"/>
          <w:sz w:val="24"/>
          <w:szCs w:val="24"/>
        </w:rPr>
        <w:t xml:space="preserve"> Как только этот рост прек</w:t>
      </w:r>
      <w:r w:rsidR="000C1E00">
        <w:rPr>
          <w:rFonts w:ascii="Times New Roman" w:hAnsi="Times New Roman" w:cs="Times New Roman"/>
          <w:sz w:val="24"/>
          <w:szCs w:val="24"/>
        </w:rPr>
        <w:t>ратился – начиная с 2012 года,</w:t>
      </w:r>
      <w:r w:rsidR="00014364">
        <w:rPr>
          <w:rFonts w:ascii="Times New Roman" w:hAnsi="Times New Roman" w:cs="Times New Roman"/>
          <w:sz w:val="24"/>
          <w:szCs w:val="24"/>
        </w:rPr>
        <w:t xml:space="preserve"> доходность первого </w:t>
      </w:r>
      <w:proofErr w:type="spellStart"/>
      <w:r w:rsidR="00014364">
        <w:rPr>
          <w:rFonts w:ascii="Times New Roman" w:hAnsi="Times New Roman" w:cs="Times New Roman"/>
          <w:sz w:val="24"/>
          <w:szCs w:val="24"/>
        </w:rPr>
        <w:t>макросектора</w:t>
      </w:r>
      <w:proofErr w:type="spellEnd"/>
      <w:r w:rsidR="00014364">
        <w:rPr>
          <w:rFonts w:ascii="Times New Roman" w:hAnsi="Times New Roman" w:cs="Times New Roman"/>
          <w:sz w:val="24"/>
          <w:szCs w:val="24"/>
        </w:rPr>
        <w:t xml:space="preserve"> стала стремительно падать.</w:t>
      </w:r>
    </w:p>
    <w:p w14:paraId="02706059" w14:textId="66D1DA1B" w:rsidR="006E4AC5" w:rsidRDefault="00014364" w:rsidP="006E4AC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точки </w:t>
      </w:r>
      <w:r w:rsidR="006E4AC5">
        <w:rPr>
          <w:rFonts w:ascii="Times New Roman" w:hAnsi="Times New Roman" w:cs="Times New Roman"/>
          <w:sz w:val="24"/>
          <w:szCs w:val="24"/>
        </w:rPr>
        <w:t>зрения предложенного подхода, сигналом к тому, что модель «ресурсного капитализма» близка к исчерпанию, стало сокращение рентабельности сырьевого сектора, начавшееся уже в 2012-2013 гг. на фоне еще высоких (но переставших расти) нефтяных цен. Тем самым ориентиры ожидаемой доходности в экономике стали снижаться, вызывая потерю мотивации и охлаждение и в других секторах экономики.</w:t>
      </w:r>
    </w:p>
    <w:p w14:paraId="2C2CEF47" w14:textId="0BF6806A" w:rsidR="006E4AC5" w:rsidRDefault="00014364" w:rsidP="009310E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экономический кризис, который переживает сейчас Россия, связан в основном с исчерпанием потенциала «трехсекторной модели», а именно, с прекращением поступления в экономику </w:t>
      </w:r>
      <w:r w:rsidR="00190138">
        <w:rPr>
          <w:rFonts w:ascii="Times New Roman" w:hAnsi="Times New Roman" w:cs="Times New Roman"/>
          <w:sz w:val="24"/>
          <w:szCs w:val="24"/>
        </w:rPr>
        <w:t xml:space="preserve">все возрастающей </w:t>
      </w:r>
      <w:r>
        <w:rPr>
          <w:rFonts w:ascii="Times New Roman" w:hAnsi="Times New Roman" w:cs="Times New Roman"/>
          <w:sz w:val="24"/>
          <w:szCs w:val="24"/>
        </w:rPr>
        <w:t xml:space="preserve">ренты, которая, перераспределяясь, «смазывала» экономический механизм, позволяя предпринимателям вести бизнес в условиях высоких рисков, ограниченной конкуренции и </w:t>
      </w:r>
      <w:proofErr w:type="spellStart"/>
      <w:r>
        <w:rPr>
          <w:rFonts w:ascii="Times New Roman" w:hAnsi="Times New Roman" w:cs="Times New Roman"/>
          <w:sz w:val="24"/>
          <w:szCs w:val="24"/>
        </w:rPr>
        <w:t>сверхналоговых</w:t>
      </w:r>
      <w:proofErr w:type="spellEnd"/>
      <w:r>
        <w:rPr>
          <w:rFonts w:ascii="Times New Roman" w:hAnsi="Times New Roman" w:cs="Times New Roman"/>
          <w:sz w:val="24"/>
          <w:szCs w:val="24"/>
        </w:rPr>
        <w:t xml:space="preserve"> отчислений, работникам увеличивать доходы, а государству – поддерживать работоспособность давно устаревших институтов социальной политики. </w:t>
      </w:r>
    </w:p>
    <w:p w14:paraId="1A16FC5F" w14:textId="77777777" w:rsidR="000C1E00" w:rsidRDefault="000C1E00" w:rsidP="009310E6">
      <w:pPr>
        <w:spacing w:line="360" w:lineRule="auto"/>
        <w:ind w:firstLine="709"/>
        <w:jc w:val="both"/>
        <w:rPr>
          <w:rFonts w:ascii="Times New Roman" w:hAnsi="Times New Roman" w:cs="Times New Roman"/>
          <w:sz w:val="24"/>
          <w:szCs w:val="24"/>
        </w:rPr>
      </w:pPr>
    </w:p>
    <w:p w14:paraId="7EDC940A" w14:textId="77777777" w:rsidR="000C1E00" w:rsidRDefault="000C1E00" w:rsidP="009310E6">
      <w:pPr>
        <w:spacing w:line="360" w:lineRule="auto"/>
        <w:ind w:firstLine="709"/>
        <w:jc w:val="both"/>
        <w:rPr>
          <w:rFonts w:ascii="Times New Roman" w:hAnsi="Times New Roman" w:cs="Times New Roman"/>
          <w:sz w:val="24"/>
          <w:szCs w:val="24"/>
        </w:rPr>
      </w:pPr>
    </w:p>
    <w:p w14:paraId="6F283812" w14:textId="77777777" w:rsidR="000C1E00" w:rsidRDefault="000C1E00" w:rsidP="009310E6">
      <w:pPr>
        <w:spacing w:line="360" w:lineRule="auto"/>
        <w:ind w:firstLine="709"/>
        <w:jc w:val="both"/>
        <w:rPr>
          <w:rFonts w:ascii="Times New Roman" w:hAnsi="Times New Roman" w:cs="Times New Roman"/>
          <w:sz w:val="24"/>
          <w:szCs w:val="24"/>
        </w:rPr>
      </w:pPr>
    </w:p>
    <w:p w14:paraId="22966846" w14:textId="01EE3CFE" w:rsidR="00F62484" w:rsidRPr="00F36651" w:rsidRDefault="00F62484" w:rsidP="00F62484">
      <w:pPr>
        <w:pStyle w:val="af0"/>
        <w:spacing w:line="360" w:lineRule="auto"/>
        <w:ind w:left="-284" w:firstLine="426"/>
        <w:jc w:val="both"/>
        <w:rPr>
          <w:rFonts w:ascii="Times New Roman" w:hAnsi="Times New Roman" w:cs="Times New Roman"/>
          <w:b/>
          <w:sz w:val="24"/>
          <w:szCs w:val="24"/>
        </w:rPr>
      </w:pPr>
      <w:r w:rsidRPr="00F36651">
        <w:rPr>
          <w:rFonts w:ascii="Times New Roman" w:hAnsi="Times New Roman" w:cs="Times New Roman"/>
          <w:b/>
          <w:sz w:val="24"/>
          <w:szCs w:val="24"/>
        </w:rPr>
        <w:lastRenderedPageBreak/>
        <w:t>Рис.</w:t>
      </w:r>
      <w:r w:rsidR="001D6F88" w:rsidRPr="001D6F88">
        <w:rPr>
          <w:rFonts w:ascii="Times New Roman" w:hAnsi="Times New Roman" w:cs="Times New Roman"/>
          <w:b/>
          <w:sz w:val="24"/>
          <w:szCs w:val="24"/>
        </w:rPr>
        <w:t xml:space="preserve"> </w:t>
      </w:r>
      <w:bookmarkStart w:id="0" w:name="_GoBack"/>
      <w:bookmarkEnd w:id="0"/>
      <w:r w:rsidR="00A1177D">
        <w:rPr>
          <w:rFonts w:ascii="Times New Roman" w:hAnsi="Times New Roman" w:cs="Times New Roman"/>
          <w:b/>
          <w:sz w:val="24"/>
          <w:szCs w:val="24"/>
        </w:rPr>
        <w:t>3</w:t>
      </w:r>
      <w:r w:rsidR="00EF4D0D">
        <w:rPr>
          <w:rFonts w:ascii="Times New Roman" w:hAnsi="Times New Roman" w:cs="Times New Roman"/>
          <w:b/>
          <w:sz w:val="24"/>
          <w:szCs w:val="24"/>
        </w:rPr>
        <w:t>.3</w:t>
      </w:r>
      <w:r w:rsidRPr="00F36651">
        <w:rPr>
          <w:rFonts w:ascii="Times New Roman" w:hAnsi="Times New Roman" w:cs="Times New Roman"/>
          <w:b/>
          <w:sz w:val="24"/>
          <w:szCs w:val="24"/>
        </w:rPr>
        <w:t>.  Динамика валового внутреннего продукта России в 1990-2015 гг.</w:t>
      </w:r>
    </w:p>
    <w:p w14:paraId="7F2B1AEB" w14:textId="46D3C9BA" w:rsidR="00F62484" w:rsidRDefault="00A1177D" w:rsidP="00F62484">
      <w:pPr>
        <w:pStyle w:val="af0"/>
        <w:spacing w:line="360" w:lineRule="auto"/>
        <w:ind w:left="-284" w:firstLine="426"/>
        <w:jc w:val="both"/>
        <w:rPr>
          <w:rFonts w:ascii="Times New Roman" w:hAnsi="Times New Roman" w:cs="Times New Roman"/>
          <w:sz w:val="24"/>
          <w:szCs w:val="24"/>
        </w:rPr>
      </w:pPr>
      <w:r w:rsidRPr="008552EB">
        <w:rPr>
          <w:rFonts w:ascii="Times New Roman" w:hAnsi="Times New Roman" w:cs="Times New Roman"/>
          <w:noProof/>
          <w:sz w:val="24"/>
          <w:szCs w:val="24"/>
          <w:lang w:eastAsia="ru-RU"/>
        </w:rPr>
        <w:drawing>
          <wp:inline distT="0" distB="0" distL="0" distR="0" wp14:anchorId="033DC5ED" wp14:editId="72D11CBD">
            <wp:extent cx="4513634" cy="2865025"/>
            <wp:effectExtent l="0" t="0" r="127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7814" cy="2867678"/>
                    </a:xfrm>
                    <a:prstGeom prst="rect">
                      <a:avLst/>
                    </a:prstGeom>
                    <a:noFill/>
                  </pic:spPr>
                </pic:pic>
              </a:graphicData>
            </a:graphic>
          </wp:inline>
        </w:drawing>
      </w:r>
    </w:p>
    <w:p w14:paraId="33B4B33D" w14:textId="77777777" w:rsidR="00F62484" w:rsidRPr="00F27817" w:rsidRDefault="00F62484" w:rsidP="00F62484">
      <w:pPr>
        <w:pStyle w:val="af0"/>
        <w:spacing w:line="360" w:lineRule="auto"/>
        <w:ind w:left="-567" w:firstLine="709"/>
        <w:jc w:val="both"/>
        <w:rPr>
          <w:rFonts w:ascii="Times New Roman" w:hAnsi="Times New Roman" w:cs="Times New Roman"/>
          <w:i/>
          <w:sz w:val="24"/>
          <w:szCs w:val="24"/>
        </w:rPr>
      </w:pPr>
      <w:r w:rsidRPr="00F27817">
        <w:rPr>
          <w:rFonts w:ascii="Times New Roman" w:hAnsi="Times New Roman" w:cs="Times New Roman"/>
          <w:i/>
          <w:sz w:val="24"/>
          <w:szCs w:val="24"/>
        </w:rPr>
        <w:t>Источник: Росстат</w:t>
      </w:r>
    </w:p>
    <w:p w14:paraId="46E98662" w14:textId="06C5F25A" w:rsidR="00190138" w:rsidRDefault="00190138" w:rsidP="009310E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Такие факторы, как резкое падение мировых цен на углеводороды и экономические санкции, «отключившие» Россию от дешевых западных денег, усугубили падение экономики, но их влияние является менее значительным</w:t>
      </w:r>
      <w:r w:rsidR="00081E40">
        <w:rPr>
          <w:rFonts w:ascii="Times New Roman" w:hAnsi="Times New Roman" w:cs="Times New Roman"/>
          <w:sz w:val="24"/>
          <w:szCs w:val="24"/>
        </w:rPr>
        <w:t>.</w:t>
      </w:r>
      <w:r>
        <w:rPr>
          <w:rFonts w:ascii="Times New Roman" w:hAnsi="Times New Roman" w:cs="Times New Roman"/>
          <w:sz w:val="24"/>
          <w:szCs w:val="24"/>
        </w:rPr>
        <w:t xml:space="preserve"> Резкое падение рентабельности предприятий первого </w:t>
      </w:r>
      <w:proofErr w:type="spellStart"/>
      <w:r>
        <w:rPr>
          <w:rFonts w:ascii="Times New Roman" w:hAnsi="Times New Roman" w:cs="Times New Roman"/>
          <w:sz w:val="24"/>
          <w:szCs w:val="24"/>
        </w:rPr>
        <w:t>макросектора</w:t>
      </w:r>
      <w:proofErr w:type="spellEnd"/>
      <w:r>
        <w:rPr>
          <w:rFonts w:ascii="Times New Roman" w:hAnsi="Times New Roman" w:cs="Times New Roman"/>
          <w:sz w:val="24"/>
          <w:szCs w:val="24"/>
        </w:rPr>
        <w:t xml:space="preserve"> произошло в 2012 г., а резкое снижение темпов роста ВВП – в 2013 г. То есть тогда, когда цены на нефть находились </w:t>
      </w:r>
      <w:r w:rsidR="00081E40">
        <w:rPr>
          <w:rFonts w:ascii="Times New Roman" w:hAnsi="Times New Roman" w:cs="Times New Roman"/>
          <w:sz w:val="24"/>
          <w:szCs w:val="24"/>
        </w:rPr>
        <w:t xml:space="preserve">на рекордно высоком уровне, и никаких санкций не было в помине. </w:t>
      </w:r>
    </w:p>
    <w:p w14:paraId="463F83D1" w14:textId="74FBEEDD" w:rsidR="000A3377" w:rsidRDefault="000A3377" w:rsidP="009310E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Уникальная особенность периода 1999-2012 гг. – складывание восстановительного роста в первом периоде (первые 4-5 лет) и развития в условиях постоянного роста </w:t>
      </w:r>
      <w:r w:rsidR="00727031">
        <w:rPr>
          <w:rFonts w:ascii="Times New Roman" w:hAnsi="Times New Roman" w:cs="Times New Roman"/>
          <w:sz w:val="24"/>
          <w:szCs w:val="24"/>
        </w:rPr>
        <w:t>цен на углеводороды на мировом рынке, обеспечивавшего не только поступление в экономику ренты, но и постоянный рост этой ренты (2003-2012 гг.</w:t>
      </w:r>
      <w:r w:rsidR="00A1177D">
        <w:rPr>
          <w:rFonts w:ascii="Times New Roman" w:hAnsi="Times New Roman" w:cs="Times New Roman"/>
          <w:sz w:val="24"/>
          <w:szCs w:val="24"/>
        </w:rPr>
        <w:t xml:space="preserve"> за исключением краткого периода кризиса 2008-2009 гг</w:t>
      </w:r>
      <w:r w:rsidR="000C1E00">
        <w:rPr>
          <w:rFonts w:ascii="Times New Roman" w:hAnsi="Times New Roman" w:cs="Times New Roman"/>
          <w:sz w:val="24"/>
          <w:szCs w:val="24"/>
        </w:rPr>
        <w:t>.</w:t>
      </w:r>
      <w:r w:rsidR="00727031">
        <w:rPr>
          <w:rFonts w:ascii="Times New Roman" w:hAnsi="Times New Roman" w:cs="Times New Roman"/>
          <w:sz w:val="24"/>
          <w:szCs w:val="24"/>
        </w:rPr>
        <w:t>). За 13 лет в экономике и обществе сформировались специфические институты, придававшие в общем-то ситуативной, текучей ситуации вид устойчивости. Эта устойчивость оформилась в головах людей, принимающих решения – от граждан, решающих, как им поступить с вновь образовавшимися доходами, до руководителей бизнеса и руководителей государства.</w:t>
      </w:r>
    </w:p>
    <w:p w14:paraId="7C591ED8" w14:textId="441B0D09" w:rsidR="00727031" w:rsidRDefault="00727031" w:rsidP="009310E6">
      <w:pPr>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Как мы отмечали выше, период роста способствовал закреплению </w:t>
      </w:r>
      <w:r w:rsidR="007679AD">
        <w:rPr>
          <w:rFonts w:ascii="Times New Roman" w:hAnsi="Times New Roman" w:cs="Times New Roman"/>
          <w:sz w:val="24"/>
          <w:szCs w:val="24"/>
        </w:rPr>
        <w:t xml:space="preserve">плохих </w:t>
      </w:r>
      <w:r>
        <w:rPr>
          <w:rFonts w:ascii="Times New Roman" w:hAnsi="Times New Roman" w:cs="Times New Roman"/>
          <w:sz w:val="24"/>
          <w:szCs w:val="24"/>
        </w:rPr>
        <w:t xml:space="preserve">институтов, сложившихся еще в 90-е годы: </w:t>
      </w:r>
      <w:r w:rsidR="00974598" w:rsidRPr="00352819">
        <w:rPr>
          <w:rFonts w:ascii="Times New Roman" w:hAnsi="Times New Roman" w:cs="Times New Roman"/>
          <w:b/>
          <w:sz w:val="24"/>
          <w:szCs w:val="24"/>
        </w:rPr>
        <w:t>государственный патернализм в организации социальной сферы</w:t>
      </w:r>
      <w:r w:rsidR="00974598">
        <w:rPr>
          <w:rFonts w:ascii="Times New Roman" w:hAnsi="Times New Roman" w:cs="Times New Roman"/>
          <w:b/>
          <w:sz w:val="24"/>
          <w:szCs w:val="24"/>
        </w:rPr>
        <w:t xml:space="preserve">; оффшорный капитализм и высокая инфляция. </w:t>
      </w:r>
      <w:r w:rsidR="00974598" w:rsidRPr="008552EB">
        <w:rPr>
          <w:rFonts w:ascii="Times New Roman" w:hAnsi="Times New Roman" w:cs="Times New Roman"/>
          <w:sz w:val="24"/>
          <w:szCs w:val="24"/>
        </w:rPr>
        <w:t>Собственно в 2000-е годы возникли институты</w:t>
      </w:r>
      <w:r w:rsidR="00974598">
        <w:rPr>
          <w:rFonts w:ascii="Times New Roman" w:hAnsi="Times New Roman" w:cs="Times New Roman"/>
          <w:b/>
          <w:sz w:val="24"/>
          <w:szCs w:val="24"/>
        </w:rPr>
        <w:t xml:space="preserve"> «принудительной благотворительности» </w:t>
      </w:r>
      <w:r w:rsidR="00974598" w:rsidRPr="008552EB">
        <w:rPr>
          <w:rFonts w:ascii="Times New Roman" w:hAnsi="Times New Roman" w:cs="Times New Roman"/>
          <w:sz w:val="24"/>
          <w:szCs w:val="24"/>
        </w:rPr>
        <w:t xml:space="preserve">или </w:t>
      </w:r>
      <w:proofErr w:type="spellStart"/>
      <w:r w:rsidR="00974598" w:rsidRPr="008552EB">
        <w:rPr>
          <w:rFonts w:ascii="Times New Roman" w:hAnsi="Times New Roman" w:cs="Times New Roman"/>
          <w:sz w:val="24"/>
          <w:szCs w:val="24"/>
        </w:rPr>
        <w:t>сверхналогового</w:t>
      </w:r>
      <w:proofErr w:type="spellEnd"/>
      <w:r w:rsidR="00974598" w:rsidRPr="008552EB">
        <w:rPr>
          <w:rFonts w:ascii="Times New Roman" w:hAnsi="Times New Roman" w:cs="Times New Roman"/>
          <w:sz w:val="24"/>
          <w:szCs w:val="24"/>
        </w:rPr>
        <w:t xml:space="preserve"> </w:t>
      </w:r>
      <w:r w:rsidR="00974598" w:rsidRPr="008552EB">
        <w:rPr>
          <w:rFonts w:ascii="Times New Roman" w:hAnsi="Times New Roman" w:cs="Times New Roman"/>
          <w:sz w:val="24"/>
          <w:szCs w:val="24"/>
        </w:rPr>
        <w:lastRenderedPageBreak/>
        <w:t>обложения бизнеса и</w:t>
      </w:r>
      <w:r w:rsidR="00974598">
        <w:rPr>
          <w:rFonts w:ascii="Times New Roman" w:hAnsi="Times New Roman" w:cs="Times New Roman"/>
          <w:b/>
          <w:sz w:val="24"/>
          <w:szCs w:val="24"/>
        </w:rPr>
        <w:t xml:space="preserve"> «государственно-частного партнерства» </w:t>
      </w:r>
      <w:r w:rsidR="00974598" w:rsidRPr="008552EB">
        <w:rPr>
          <w:rFonts w:ascii="Times New Roman" w:hAnsi="Times New Roman" w:cs="Times New Roman"/>
          <w:sz w:val="24"/>
          <w:szCs w:val="24"/>
        </w:rPr>
        <w:t xml:space="preserve">или субсидирования государством крупного </w:t>
      </w:r>
      <w:proofErr w:type="spellStart"/>
      <w:r w:rsidR="00974598" w:rsidRPr="008552EB">
        <w:rPr>
          <w:rFonts w:ascii="Times New Roman" w:hAnsi="Times New Roman" w:cs="Times New Roman"/>
          <w:sz w:val="24"/>
          <w:szCs w:val="24"/>
        </w:rPr>
        <w:t>несырьевого</w:t>
      </w:r>
      <w:proofErr w:type="spellEnd"/>
      <w:r w:rsidR="00974598" w:rsidRPr="008552EB">
        <w:rPr>
          <w:rFonts w:ascii="Times New Roman" w:hAnsi="Times New Roman" w:cs="Times New Roman"/>
          <w:sz w:val="24"/>
          <w:szCs w:val="24"/>
        </w:rPr>
        <w:t xml:space="preserve"> бизнеса</w:t>
      </w:r>
      <w:r w:rsidR="00974598">
        <w:rPr>
          <w:rFonts w:ascii="Times New Roman" w:hAnsi="Times New Roman" w:cs="Times New Roman"/>
          <w:b/>
          <w:sz w:val="24"/>
          <w:szCs w:val="24"/>
        </w:rPr>
        <w:t xml:space="preserve">. </w:t>
      </w:r>
    </w:p>
    <w:p w14:paraId="45807E85" w14:textId="3F1A42AC" w:rsidR="00BA1403" w:rsidRDefault="007679AD" w:rsidP="009310E6">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Вместе с тем, период роста укрепил и коренные институты рыно</w:t>
      </w:r>
      <w:r w:rsidR="000C1E00">
        <w:rPr>
          <w:rFonts w:ascii="Times New Roman" w:hAnsi="Times New Roman" w:cs="Times New Roman"/>
          <w:b/>
          <w:sz w:val="24"/>
          <w:szCs w:val="24"/>
        </w:rPr>
        <w:t>чной экономики.</w:t>
      </w:r>
    </w:p>
    <w:p w14:paraId="1F0287F0" w14:textId="01779C00" w:rsidR="0015069F" w:rsidRDefault="0015069F" w:rsidP="008552EB">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В части бизнеса:</w:t>
      </w:r>
      <w:r w:rsidR="007679AD">
        <w:rPr>
          <w:rFonts w:ascii="Times New Roman" w:hAnsi="Times New Roman" w:cs="Times New Roman"/>
          <w:b/>
          <w:sz w:val="24"/>
          <w:szCs w:val="24"/>
        </w:rPr>
        <w:t xml:space="preserve"> </w:t>
      </w:r>
    </w:p>
    <w:p w14:paraId="4386325C" w14:textId="3F25BD15" w:rsidR="00BA1403" w:rsidRDefault="007679AD" w:rsidP="008552EB">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частное предпринимательство перестало иметь «</w:t>
      </w:r>
      <w:proofErr w:type="spellStart"/>
      <w:r>
        <w:rPr>
          <w:rFonts w:ascii="Times New Roman" w:hAnsi="Times New Roman" w:cs="Times New Roman"/>
          <w:b/>
          <w:sz w:val="24"/>
          <w:szCs w:val="24"/>
        </w:rPr>
        <w:t>перераспределительный</w:t>
      </w:r>
      <w:proofErr w:type="spellEnd"/>
      <w:r>
        <w:rPr>
          <w:rFonts w:ascii="Times New Roman" w:hAnsi="Times New Roman" w:cs="Times New Roman"/>
          <w:b/>
          <w:sz w:val="24"/>
          <w:szCs w:val="24"/>
        </w:rPr>
        <w:t>» характер  и стал</w:t>
      </w:r>
      <w:r w:rsidR="008F4A40">
        <w:rPr>
          <w:rFonts w:ascii="Times New Roman" w:hAnsi="Times New Roman" w:cs="Times New Roman"/>
          <w:b/>
          <w:sz w:val="24"/>
          <w:szCs w:val="24"/>
        </w:rPr>
        <w:t>о</w:t>
      </w:r>
      <w:r>
        <w:rPr>
          <w:rFonts w:ascii="Times New Roman" w:hAnsi="Times New Roman" w:cs="Times New Roman"/>
          <w:b/>
          <w:sz w:val="24"/>
          <w:szCs w:val="24"/>
        </w:rPr>
        <w:t xml:space="preserve"> реально инвестировать, </w:t>
      </w:r>
    </w:p>
    <w:p w14:paraId="51425ED4" w14:textId="1AD33D10" w:rsidR="00BA1403" w:rsidRDefault="00E2224D" w:rsidP="008552EB">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основная часть предприятий сумела обновить технологии и существенно повысить свою «технологическую конкурентоспособность»</w:t>
      </w:r>
      <w:r w:rsidR="008F4A40">
        <w:rPr>
          <w:rStyle w:val="af"/>
          <w:rFonts w:ascii="Times New Roman" w:hAnsi="Times New Roman" w:cs="Times New Roman"/>
          <w:b/>
          <w:sz w:val="24"/>
          <w:szCs w:val="24"/>
        </w:rPr>
        <w:footnoteReference w:id="6"/>
      </w:r>
      <w:r>
        <w:rPr>
          <w:rFonts w:ascii="Times New Roman" w:hAnsi="Times New Roman" w:cs="Times New Roman"/>
          <w:b/>
          <w:sz w:val="24"/>
          <w:szCs w:val="24"/>
        </w:rPr>
        <w:t xml:space="preserve">; </w:t>
      </w:r>
    </w:p>
    <w:p w14:paraId="4DBBCF52" w14:textId="61055847" w:rsidR="00BA1403" w:rsidRDefault="007679AD" w:rsidP="008552EB">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значительно выросла экономическая </w:t>
      </w:r>
      <w:r w:rsidR="0015069F">
        <w:rPr>
          <w:rFonts w:ascii="Times New Roman" w:hAnsi="Times New Roman" w:cs="Times New Roman"/>
          <w:b/>
          <w:sz w:val="24"/>
          <w:szCs w:val="24"/>
        </w:rPr>
        <w:t xml:space="preserve">и правовая </w:t>
      </w:r>
      <w:r w:rsidR="000C1E00">
        <w:rPr>
          <w:rFonts w:ascii="Times New Roman" w:hAnsi="Times New Roman" w:cs="Times New Roman"/>
          <w:b/>
          <w:sz w:val="24"/>
          <w:szCs w:val="24"/>
        </w:rPr>
        <w:t>культура участников рынка.</w:t>
      </w:r>
    </w:p>
    <w:p w14:paraId="4FB13C26" w14:textId="3E961724" w:rsidR="0015069F" w:rsidRDefault="0015069F" w:rsidP="008552EB">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Это значит, что российские предприятия готовы к работе в режиме конкуренции – это качественно отличает ситуацию нынешнего кризиса от ситуации 90-х годов. </w:t>
      </w:r>
    </w:p>
    <w:p w14:paraId="64A84E04" w14:textId="27C5DB21" w:rsidR="0015069F" w:rsidRDefault="0015069F" w:rsidP="008552EB">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В части человеческого капитала:</w:t>
      </w:r>
    </w:p>
    <w:p w14:paraId="5CCFFB64" w14:textId="0AC502DC" w:rsidR="007679AD" w:rsidRDefault="007679AD" w:rsidP="008552EB">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сформировался значительный </w:t>
      </w:r>
      <w:r w:rsidR="00A6574F">
        <w:rPr>
          <w:rFonts w:ascii="Times New Roman" w:hAnsi="Times New Roman" w:cs="Times New Roman"/>
          <w:b/>
          <w:sz w:val="24"/>
          <w:szCs w:val="24"/>
        </w:rPr>
        <w:t xml:space="preserve">(до 40% населения) </w:t>
      </w:r>
      <w:r>
        <w:rPr>
          <w:rFonts w:ascii="Times New Roman" w:hAnsi="Times New Roman" w:cs="Times New Roman"/>
          <w:b/>
          <w:sz w:val="24"/>
          <w:szCs w:val="24"/>
        </w:rPr>
        <w:t xml:space="preserve">средний класс, потребительская активность которого, способность и желание выбирать товары и услуги лучшего качества сформировали в России эффективный </w:t>
      </w:r>
      <w:r w:rsidR="007342DE">
        <w:rPr>
          <w:rFonts w:ascii="Times New Roman" w:hAnsi="Times New Roman" w:cs="Times New Roman"/>
          <w:b/>
          <w:sz w:val="24"/>
          <w:szCs w:val="24"/>
        </w:rPr>
        <w:t xml:space="preserve">потребительский </w:t>
      </w:r>
      <w:r w:rsidR="00BA1403">
        <w:rPr>
          <w:rFonts w:ascii="Times New Roman" w:hAnsi="Times New Roman" w:cs="Times New Roman"/>
          <w:b/>
          <w:sz w:val="24"/>
          <w:szCs w:val="24"/>
        </w:rPr>
        <w:t>рынок</w:t>
      </w:r>
      <w:r w:rsidR="007342DE">
        <w:rPr>
          <w:rFonts w:ascii="Times New Roman" w:hAnsi="Times New Roman" w:cs="Times New Roman"/>
          <w:b/>
          <w:sz w:val="24"/>
          <w:szCs w:val="24"/>
        </w:rPr>
        <w:t>;</w:t>
      </w:r>
    </w:p>
    <w:p w14:paraId="10774EA1" w14:textId="769700D6" w:rsidR="007342DE" w:rsidRDefault="007342DE" w:rsidP="008552EB">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практически вся трудоспособная молодежь охва</w:t>
      </w:r>
      <w:r w:rsidR="00A6574F">
        <w:rPr>
          <w:rFonts w:ascii="Times New Roman" w:hAnsi="Times New Roman" w:cs="Times New Roman"/>
          <w:b/>
          <w:sz w:val="24"/>
          <w:szCs w:val="24"/>
        </w:rPr>
        <w:t>тывается</w:t>
      </w:r>
      <w:r>
        <w:rPr>
          <w:rFonts w:ascii="Times New Roman" w:hAnsi="Times New Roman" w:cs="Times New Roman"/>
          <w:b/>
          <w:sz w:val="24"/>
          <w:szCs w:val="24"/>
        </w:rPr>
        <w:t xml:space="preserve"> программами профессионального образован</w:t>
      </w:r>
      <w:r w:rsidR="00A6574F">
        <w:rPr>
          <w:rFonts w:ascii="Times New Roman" w:hAnsi="Times New Roman" w:cs="Times New Roman"/>
          <w:b/>
          <w:sz w:val="24"/>
          <w:szCs w:val="24"/>
        </w:rPr>
        <w:t xml:space="preserve">ия (75% - высшего образования). Это обеспечивает </w:t>
      </w:r>
      <w:r w:rsidR="0007143B">
        <w:rPr>
          <w:rFonts w:ascii="Times New Roman" w:hAnsi="Times New Roman" w:cs="Times New Roman"/>
          <w:b/>
          <w:sz w:val="24"/>
          <w:szCs w:val="24"/>
        </w:rPr>
        <w:t xml:space="preserve">более </w:t>
      </w:r>
      <w:r w:rsidR="00A6574F">
        <w:rPr>
          <w:rFonts w:ascii="Times New Roman" w:hAnsi="Times New Roman" w:cs="Times New Roman"/>
          <w:b/>
          <w:sz w:val="24"/>
          <w:szCs w:val="24"/>
        </w:rPr>
        <w:t>высокую трудовую мобильность и повышенные требования к работе и зарплате, позволяет быстро осваивать новые технологии и новые виды товаров и услуг;</w:t>
      </w:r>
    </w:p>
    <w:p w14:paraId="3D618BDB" w14:textId="4C9E07E1" w:rsidR="007342DE" w:rsidRDefault="007342DE" w:rsidP="008552EB">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сохраняющийся благодаря значительному экономическому отрыву России от других постсоветских стран миграционный приток обеспечивает экономику дешевой рабочей силой базовой и средней квалификации «на льготных условиях» - практически без нагрузки в виде отчислений в фонды пенсионного и медицинского страхования. Наличие 10% мигрантов в составе работающего населения служит также демпфером резких изменений на рынке труда. </w:t>
      </w:r>
    </w:p>
    <w:p w14:paraId="61BABDD3" w14:textId="6D4718FB" w:rsidR="00A6574F" w:rsidRDefault="00A6574F" w:rsidP="008552EB">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В целом человеческий капитал России потенциально имеет высокую конкурентоспособность. </w:t>
      </w:r>
      <w:r w:rsidR="000D2C01" w:rsidRPr="009D62BA">
        <w:rPr>
          <w:rFonts w:ascii="Times New Roman" w:hAnsi="Times New Roman" w:cs="Times New Roman"/>
          <w:sz w:val="24"/>
          <w:szCs w:val="24"/>
        </w:rPr>
        <w:t>Вместе с тем в ближайшие годы система воспроизводства человеческого капитала будет подвергаться эрозии в результате сокращения социальных расходов государства. Однако негативный результат этого процесса собственно на экономике скажется только после 2025 года</w:t>
      </w:r>
      <w:r w:rsidR="008552EB">
        <w:rPr>
          <w:rFonts w:ascii="Times New Roman" w:hAnsi="Times New Roman" w:cs="Times New Roman"/>
          <w:b/>
          <w:sz w:val="24"/>
          <w:szCs w:val="24"/>
        </w:rPr>
        <w:t>.</w:t>
      </w:r>
    </w:p>
    <w:p w14:paraId="32AB4CB6" w14:textId="251885D2" w:rsidR="0015069F" w:rsidRDefault="0015069F" w:rsidP="008552EB">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Новый этап экономического роста будет опираться именно на эти институты. Вместе с тем, сохранение «плохих институтов» будет препятствовать росту</w:t>
      </w:r>
      <w:r w:rsidR="000C1E00">
        <w:rPr>
          <w:rFonts w:ascii="Times New Roman" w:hAnsi="Times New Roman" w:cs="Times New Roman"/>
          <w:b/>
          <w:sz w:val="24"/>
          <w:szCs w:val="24"/>
        </w:rPr>
        <w:t>.</w:t>
      </w:r>
    </w:p>
    <w:p w14:paraId="47A61202" w14:textId="77777777" w:rsidR="00A6574F" w:rsidRDefault="00A6574F" w:rsidP="00081E40">
      <w:pPr>
        <w:spacing w:line="360" w:lineRule="auto"/>
        <w:ind w:left="-567" w:firstLine="567"/>
        <w:jc w:val="both"/>
        <w:rPr>
          <w:rFonts w:ascii="Times New Roman" w:hAnsi="Times New Roman" w:cs="Times New Roman"/>
          <w:b/>
          <w:sz w:val="28"/>
          <w:szCs w:val="24"/>
        </w:rPr>
      </w:pPr>
    </w:p>
    <w:p w14:paraId="253DC87B" w14:textId="48233EB6" w:rsidR="000A3377" w:rsidRPr="008552EB" w:rsidRDefault="0031770C" w:rsidP="009310E6">
      <w:pPr>
        <w:spacing w:line="360" w:lineRule="auto"/>
        <w:ind w:left="284"/>
        <w:jc w:val="both"/>
        <w:rPr>
          <w:rFonts w:ascii="Times New Roman" w:hAnsi="Times New Roman" w:cs="Times New Roman"/>
          <w:b/>
          <w:sz w:val="28"/>
          <w:szCs w:val="24"/>
        </w:rPr>
      </w:pPr>
      <w:r>
        <w:rPr>
          <w:rFonts w:ascii="Times New Roman" w:hAnsi="Times New Roman" w:cs="Times New Roman"/>
          <w:b/>
          <w:sz w:val="28"/>
          <w:szCs w:val="24"/>
        </w:rPr>
        <w:t xml:space="preserve">Часть 4. </w:t>
      </w:r>
      <w:r w:rsidR="000A3377" w:rsidRPr="008552EB">
        <w:rPr>
          <w:rFonts w:ascii="Times New Roman" w:hAnsi="Times New Roman" w:cs="Times New Roman"/>
          <w:b/>
          <w:sz w:val="28"/>
          <w:szCs w:val="24"/>
        </w:rPr>
        <w:t>Новая реальность</w:t>
      </w:r>
      <w:r w:rsidR="008552EB">
        <w:rPr>
          <w:rFonts w:ascii="Times New Roman" w:hAnsi="Times New Roman" w:cs="Times New Roman"/>
          <w:b/>
          <w:sz w:val="28"/>
          <w:szCs w:val="24"/>
        </w:rPr>
        <w:t xml:space="preserve"> и переход к новому равновесию</w:t>
      </w:r>
    </w:p>
    <w:p w14:paraId="11AD89DE" w14:textId="432B43CF" w:rsidR="001213B1" w:rsidRPr="006E58F3" w:rsidRDefault="001213B1" w:rsidP="009310E6">
      <w:pPr>
        <w:spacing w:line="360" w:lineRule="auto"/>
        <w:ind w:firstLine="709"/>
        <w:jc w:val="both"/>
        <w:rPr>
          <w:rFonts w:ascii="Times New Roman" w:hAnsi="Times New Roman" w:cs="Times New Roman"/>
          <w:b/>
          <w:sz w:val="26"/>
          <w:szCs w:val="26"/>
        </w:rPr>
      </w:pPr>
      <w:r w:rsidRPr="006E58F3">
        <w:rPr>
          <w:rFonts w:ascii="Times New Roman" w:hAnsi="Times New Roman" w:cs="Times New Roman"/>
          <w:b/>
          <w:sz w:val="26"/>
          <w:szCs w:val="26"/>
        </w:rPr>
        <w:t>4.1. Базовые условия перехода</w:t>
      </w:r>
    </w:p>
    <w:p w14:paraId="4E40ED26" w14:textId="3EA7312D" w:rsidR="000A3377" w:rsidRDefault="000A3377" w:rsidP="009310E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То, что происходит в России, начиная с 2012-2013 гг. – это не циклический кризис и не «кризис изгоя». Это начало перехода экономики на новые рельсы – развитие в условиях</w:t>
      </w:r>
      <w:r w:rsidR="00974598">
        <w:rPr>
          <w:rFonts w:ascii="Times New Roman" w:hAnsi="Times New Roman" w:cs="Times New Roman"/>
          <w:sz w:val="24"/>
          <w:szCs w:val="24"/>
        </w:rPr>
        <w:t xml:space="preserve"> без постоянно возрастающего притока нефтегазовой ренты. </w:t>
      </w:r>
      <w:r w:rsidR="00140178">
        <w:rPr>
          <w:rFonts w:ascii="Times New Roman" w:hAnsi="Times New Roman" w:cs="Times New Roman"/>
          <w:sz w:val="24"/>
          <w:szCs w:val="24"/>
        </w:rPr>
        <w:t>То, что «точка перегиба» это именно эти годы – доказывает динамика ВВП. Ц</w:t>
      </w:r>
      <w:r w:rsidR="008F4A40">
        <w:rPr>
          <w:rFonts w:ascii="Times New Roman" w:hAnsi="Times New Roman" w:cs="Times New Roman"/>
          <w:sz w:val="24"/>
          <w:szCs w:val="24"/>
        </w:rPr>
        <w:t>ены на нефть оставались высокими в этот период, но они перестали расти</w:t>
      </w:r>
      <w:r w:rsidR="00140178">
        <w:rPr>
          <w:rFonts w:ascii="Times New Roman" w:hAnsi="Times New Roman" w:cs="Times New Roman"/>
          <w:sz w:val="24"/>
          <w:szCs w:val="24"/>
        </w:rPr>
        <w:t xml:space="preserve"> – и прекратился быстрый рост экономики</w:t>
      </w:r>
      <w:r w:rsidR="008F4A40">
        <w:rPr>
          <w:rFonts w:ascii="Times New Roman" w:hAnsi="Times New Roman" w:cs="Times New Roman"/>
          <w:sz w:val="24"/>
          <w:szCs w:val="24"/>
        </w:rPr>
        <w:t>.</w:t>
      </w:r>
    </w:p>
    <w:p w14:paraId="691F2778" w14:textId="7E28DB73" w:rsidR="00190138" w:rsidRDefault="00190138" w:rsidP="009310E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Экономика и социальная система должны перестроиться, найти новое равновесие</w:t>
      </w:r>
      <w:r w:rsidR="00F62484">
        <w:rPr>
          <w:rFonts w:ascii="Times New Roman" w:hAnsi="Times New Roman" w:cs="Times New Roman"/>
          <w:sz w:val="24"/>
          <w:szCs w:val="24"/>
        </w:rPr>
        <w:t xml:space="preserve"> в новой ситуации</w:t>
      </w:r>
      <w:r>
        <w:rPr>
          <w:rFonts w:ascii="Times New Roman" w:hAnsi="Times New Roman" w:cs="Times New Roman"/>
          <w:sz w:val="24"/>
          <w:szCs w:val="24"/>
        </w:rPr>
        <w:t xml:space="preserve">. </w:t>
      </w:r>
      <w:r w:rsidR="00F62484">
        <w:rPr>
          <w:rFonts w:ascii="Times New Roman" w:hAnsi="Times New Roman" w:cs="Times New Roman"/>
          <w:sz w:val="24"/>
          <w:szCs w:val="24"/>
        </w:rPr>
        <w:t xml:space="preserve">В такой задаче нет ничего чрезмерно тяжелого и тем более трагического. Абсолютное большинство стран мира успешно росли и развиваются сегодня в условиях, в которых оказалась сейчас Россия. </w:t>
      </w:r>
      <w:r>
        <w:rPr>
          <w:rFonts w:ascii="Times New Roman" w:hAnsi="Times New Roman" w:cs="Times New Roman"/>
          <w:sz w:val="24"/>
          <w:szCs w:val="24"/>
        </w:rPr>
        <w:t>Основн</w:t>
      </w:r>
      <w:r w:rsidR="00F62484">
        <w:rPr>
          <w:rFonts w:ascii="Times New Roman" w:hAnsi="Times New Roman" w:cs="Times New Roman"/>
          <w:sz w:val="24"/>
          <w:szCs w:val="24"/>
        </w:rPr>
        <w:t>ой</w:t>
      </w:r>
      <w:r>
        <w:rPr>
          <w:rFonts w:ascii="Times New Roman" w:hAnsi="Times New Roman" w:cs="Times New Roman"/>
          <w:sz w:val="24"/>
          <w:szCs w:val="24"/>
        </w:rPr>
        <w:t xml:space="preserve"> </w:t>
      </w:r>
      <w:r w:rsidR="00F62484">
        <w:rPr>
          <w:rFonts w:ascii="Times New Roman" w:hAnsi="Times New Roman" w:cs="Times New Roman"/>
          <w:sz w:val="24"/>
          <w:szCs w:val="24"/>
        </w:rPr>
        <w:t>результат</w:t>
      </w:r>
      <w:r>
        <w:rPr>
          <w:rFonts w:ascii="Times New Roman" w:hAnsi="Times New Roman" w:cs="Times New Roman"/>
          <w:sz w:val="24"/>
          <w:szCs w:val="24"/>
        </w:rPr>
        <w:t xml:space="preserve"> </w:t>
      </w:r>
      <w:r w:rsidR="00F62484">
        <w:rPr>
          <w:rFonts w:ascii="Times New Roman" w:hAnsi="Times New Roman" w:cs="Times New Roman"/>
          <w:sz w:val="24"/>
          <w:szCs w:val="24"/>
        </w:rPr>
        <w:t>нового</w:t>
      </w:r>
      <w:r>
        <w:rPr>
          <w:rFonts w:ascii="Times New Roman" w:hAnsi="Times New Roman" w:cs="Times New Roman"/>
          <w:sz w:val="24"/>
          <w:szCs w:val="24"/>
        </w:rPr>
        <w:t xml:space="preserve"> равновесия – переход всего бизнеса на нормальную ожидаемую норму доходности</w:t>
      </w:r>
      <w:r w:rsidR="000C1E00">
        <w:rPr>
          <w:rFonts w:ascii="Times New Roman" w:hAnsi="Times New Roman" w:cs="Times New Roman"/>
          <w:sz w:val="24"/>
          <w:szCs w:val="24"/>
        </w:rPr>
        <w:t>.</w:t>
      </w:r>
    </w:p>
    <w:p w14:paraId="4BD92FAC" w14:textId="1D42E71D" w:rsidR="008F4A40" w:rsidRDefault="00F62484"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Рассмотрим базовые условия </w:t>
      </w:r>
      <w:r w:rsidR="001B5AD4">
        <w:rPr>
          <w:rFonts w:ascii="Times New Roman" w:hAnsi="Times New Roman" w:cs="Times New Roman"/>
          <w:sz w:val="24"/>
          <w:szCs w:val="24"/>
        </w:rPr>
        <w:t>перехода к новому равновесию</w:t>
      </w:r>
      <w:r>
        <w:rPr>
          <w:rFonts w:ascii="Times New Roman" w:hAnsi="Times New Roman" w:cs="Times New Roman"/>
          <w:sz w:val="24"/>
          <w:szCs w:val="24"/>
        </w:rPr>
        <w:t xml:space="preserve">. </w:t>
      </w:r>
    </w:p>
    <w:p w14:paraId="3CE4EF0F" w14:textId="4C15E9D3" w:rsidR="00F62484" w:rsidRDefault="008F4A40"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Первое – снижение инфляции до 3-4%</w:t>
      </w:r>
      <w:r w:rsidR="00614B7F">
        <w:rPr>
          <w:rFonts w:ascii="Times New Roman" w:hAnsi="Times New Roman" w:cs="Times New Roman"/>
          <w:sz w:val="24"/>
          <w:szCs w:val="24"/>
        </w:rPr>
        <w:t>, то есть до психологического уровня, который делал бы возможным игнорирование инфляции в формировании цен будущего периода.</w:t>
      </w:r>
    </w:p>
    <w:p w14:paraId="4EBDF3A1" w14:textId="0077C391" w:rsidR="00614B7F" w:rsidRDefault="00614B7F"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Второе – возможность для крупного и для среднего бизнеса получать ресурсы для новых проектов  через кредиты и размещение на фондовом рынке. Это требует формирования значимых по масштабу источников «длинных  денег» внутри страны. Если для крупных предприятий это можно заместить возвращением доступа на мировой финансовый рынок, то уже средний бизнес альтернативы «рос</w:t>
      </w:r>
      <w:r w:rsidR="000C1E00">
        <w:rPr>
          <w:rFonts w:ascii="Times New Roman" w:hAnsi="Times New Roman" w:cs="Times New Roman"/>
          <w:sz w:val="24"/>
          <w:szCs w:val="24"/>
        </w:rPr>
        <w:t>с</w:t>
      </w:r>
      <w:r>
        <w:rPr>
          <w:rFonts w:ascii="Times New Roman" w:hAnsi="Times New Roman" w:cs="Times New Roman"/>
          <w:sz w:val="24"/>
          <w:szCs w:val="24"/>
        </w:rPr>
        <w:t>ийским деньгам» не имеет.</w:t>
      </w:r>
    </w:p>
    <w:p w14:paraId="18904D11" w14:textId="77777777" w:rsidR="00614B7F" w:rsidRDefault="00614B7F"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Третье – отказ от института </w:t>
      </w:r>
      <w:proofErr w:type="spellStart"/>
      <w:r>
        <w:rPr>
          <w:rFonts w:ascii="Times New Roman" w:hAnsi="Times New Roman" w:cs="Times New Roman"/>
          <w:sz w:val="24"/>
          <w:szCs w:val="24"/>
        </w:rPr>
        <w:t>сверхналогового</w:t>
      </w:r>
      <w:proofErr w:type="spellEnd"/>
      <w:r>
        <w:rPr>
          <w:rFonts w:ascii="Times New Roman" w:hAnsi="Times New Roman" w:cs="Times New Roman"/>
          <w:sz w:val="24"/>
          <w:szCs w:val="24"/>
        </w:rPr>
        <w:t xml:space="preserve"> «благотворительного обложения» бизнеса.</w:t>
      </w:r>
    </w:p>
    <w:p w14:paraId="403BAAD8" w14:textId="2AA90BC5" w:rsidR="00614B7F" w:rsidRDefault="00614B7F"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Четвертое – </w:t>
      </w:r>
      <w:r w:rsidR="001B5AD4">
        <w:rPr>
          <w:rFonts w:ascii="Times New Roman" w:hAnsi="Times New Roman" w:cs="Times New Roman"/>
          <w:sz w:val="24"/>
          <w:szCs w:val="24"/>
        </w:rPr>
        <w:t xml:space="preserve">значимое </w:t>
      </w:r>
      <w:r>
        <w:rPr>
          <w:rFonts w:ascii="Times New Roman" w:hAnsi="Times New Roman" w:cs="Times New Roman"/>
          <w:sz w:val="24"/>
          <w:szCs w:val="24"/>
        </w:rPr>
        <w:t xml:space="preserve">снижение политических и </w:t>
      </w:r>
      <w:proofErr w:type="spellStart"/>
      <w:r>
        <w:rPr>
          <w:rFonts w:ascii="Times New Roman" w:hAnsi="Times New Roman" w:cs="Times New Roman"/>
          <w:sz w:val="24"/>
          <w:szCs w:val="24"/>
        </w:rPr>
        <w:t>квазиполитических</w:t>
      </w:r>
      <w:proofErr w:type="spellEnd"/>
      <w:r>
        <w:rPr>
          <w:rFonts w:ascii="Times New Roman" w:hAnsi="Times New Roman" w:cs="Times New Roman"/>
          <w:sz w:val="24"/>
          <w:szCs w:val="24"/>
        </w:rPr>
        <w:t xml:space="preserve"> рисков</w:t>
      </w:r>
      <w:r w:rsidR="00802851">
        <w:rPr>
          <w:rFonts w:ascii="Times New Roman" w:hAnsi="Times New Roman" w:cs="Times New Roman"/>
          <w:sz w:val="24"/>
          <w:szCs w:val="24"/>
        </w:rPr>
        <w:t xml:space="preserve"> для бизнеса.</w:t>
      </w:r>
      <w:r>
        <w:rPr>
          <w:rFonts w:ascii="Times New Roman" w:hAnsi="Times New Roman" w:cs="Times New Roman"/>
          <w:sz w:val="24"/>
          <w:szCs w:val="24"/>
        </w:rPr>
        <w:t xml:space="preserve">  </w:t>
      </w:r>
      <w:r w:rsidR="00802851">
        <w:rPr>
          <w:rFonts w:ascii="Times New Roman" w:hAnsi="Times New Roman" w:cs="Times New Roman"/>
          <w:sz w:val="24"/>
          <w:szCs w:val="24"/>
        </w:rPr>
        <w:t xml:space="preserve">Для бизнеса психологическим сигналом </w:t>
      </w:r>
      <w:r w:rsidR="008E031D">
        <w:rPr>
          <w:rFonts w:ascii="Times New Roman" w:hAnsi="Times New Roman" w:cs="Times New Roman"/>
          <w:sz w:val="24"/>
          <w:szCs w:val="24"/>
        </w:rPr>
        <w:t>отсутствия таких рисков может стать</w:t>
      </w:r>
      <w:r w:rsidR="00802851">
        <w:rPr>
          <w:rFonts w:ascii="Times New Roman" w:hAnsi="Times New Roman" w:cs="Times New Roman"/>
          <w:sz w:val="24"/>
          <w:szCs w:val="24"/>
        </w:rPr>
        <w:t xml:space="preserve"> 2-3 летняя практика, когда значительная часть случаев противостояния государства и бизнеса разрешалась </w:t>
      </w:r>
      <w:r w:rsidR="008E031D">
        <w:rPr>
          <w:rFonts w:ascii="Times New Roman" w:hAnsi="Times New Roman" w:cs="Times New Roman"/>
          <w:sz w:val="24"/>
          <w:szCs w:val="24"/>
        </w:rPr>
        <w:t xml:space="preserve">бы </w:t>
      </w:r>
      <w:r w:rsidR="00802851">
        <w:rPr>
          <w:rFonts w:ascii="Times New Roman" w:hAnsi="Times New Roman" w:cs="Times New Roman"/>
          <w:sz w:val="24"/>
          <w:szCs w:val="24"/>
        </w:rPr>
        <w:t>в пользу бизнеса.</w:t>
      </w:r>
      <w:r w:rsidR="009C46F3">
        <w:rPr>
          <w:rFonts w:ascii="Times New Roman" w:hAnsi="Times New Roman" w:cs="Times New Roman"/>
          <w:sz w:val="24"/>
          <w:szCs w:val="24"/>
        </w:rPr>
        <w:t xml:space="preserve">  </w:t>
      </w:r>
    </w:p>
    <w:p w14:paraId="38D9941A" w14:textId="413FC55A" w:rsidR="00802851" w:rsidRDefault="00802851"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Пятое – </w:t>
      </w:r>
      <w:r w:rsidR="008E031D">
        <w:rPr>
          <w:rFonts w:ascii="Times New Roman" w:hAnsi="Times New Roman" w:cs="Times New Roman"/>
          <w:sz w:val="24"/>
          <w:szCs w:val="24"/>
        </w:rPr>
        <w:t xml:space="preserve">частичный </w:t>
      </w:r>
      <w:r>
        <w:rPr>
          <w:rFonts w:ascii="Times New Roman" w:hAnsi="Times New Roman" w:cs="Times New Roman"/>
          <w:sz w:val="24"/>
          <w:szCs w:val="24"/>
        </w:rPr>
        <w:t>демонтаж существующей системы контроля и надзора</w:t>
      </w:r>
      <w:r w:rsidR="000D2C01">
        <w:rPr>
          <w:rFonts w:ascii="Times New Roman" w:hAnsi="Times New Roman" w:cs="Times New Roman"/>
          <w:sz w:val="24"/>
          <w:szCs w:val="24"/>
        </w:rPr>
        <w:t>, вполне сопоставимой по негативной нагрузке на бизнес с «судебно-силовой» системой</w:t>
      </w:r>
      <w:r w:rsidR="000D2C01">
        <w:rPr>
          <w:rStyle w:val="af"/>
          <w:rFonts w:ascii="Times New Roman" w:hAnsi="Times New Roman" w:cs="Times New Roman"/>
          <w:sz w:val="24"/>
          <w:szCs w:val="24"/>
        </w:rPr>
        <w:footnoteReference w:id="7"/>
      </w:r>
      <w:r>
        <w:rPr>
          <w:rFonts w:ascii="Times New Roman" w:hAnsi="Times New Roman" w:cs="Times New Roman"/>
          <w:sz w:val="24"/>
          <w:szCs w:val="24"/>
        </w:rPr>
        <w:t xml:space="preserve">. </w:t>
      </w:r>
    </w:p>
    <w:p w14:paraId="0374DCAA" w14:textId="460B09C6" w:rsidR="00CA1AE2" w:rsidRPr="009310E6" w:rsidRDefault="000D2C01"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Мы не можем предполагать, что государство сейчас </w:t>
      </w:r>
      <w:r w:rsidR="006D6D0C">
        <w:rPr>
          <w:rFonts w:ascii="Times New Roman" w:hAnsi="Times New Roman" w:cs="Times New Roman"/>
          <w:sz w:val="24"/>
          <w:szCs w:val="24"/>
        </w:rPr>
        <w:t xml:space="preserve">быстро и последовательно </w:t>
      </w:r>
      <w:r>
        <w:rPr>
          <w:rFonts w:ascii="Times New Roman" w:hAnsi="Times New Roman" w:cs="Times New Roman"/>
          <w:sz w:val="24"/>
          <w:szCs w:val="24"/>
        </w:rPr>
        <w:t xml:space="preserve">реализует </w:t>
      </w:r>
      <w:r w:rsidR="006D6D0C">
        <w:rPr>
          <w:rFonts w:ascii="Times New Roman" w:hAnsi="Times New Roman" w:cs="Times New Roman"/>
          <w:sz w:val="24"/>
          <w:szCs w:val="24"/>
        </w:rPr>
        <w:t>реформу регулирования экономики (и вообще разом пересмотрит сложившуюся систему своих взаимоотношений с бизнесом). Экономическая политика складывается в результате деятельности целого ряда элитных и профессиональных групп, а не реализуется «манием руки» даже первого лица в государстве</w:t>
      </w:r>
      <w:r w:rsidR="006D6D0C">
        <w:rPr>
          <w:rStyle w:val="af"/>
          <w:rFonts w:ascii="Times New Roman" w:hAnsi="Times New Roman" w:cs="Times New Roman"/>
          <w:sz w:val="24"/>
          <w:szCs w:val="24"/>
        </w:rPr>
        <w:footnoteReference w:id="8"/>
      </w:r>
      <w:r w:rsidR="006D6D0C">
        <w:rPr>
          <w:rFonts w:ascii="Times New Roman" w:hAnsi="Times New Roman" w:cs="Times New Roman"/>
          <w:sz w:val="24"/>
          <w:szCs w:val="24"/>
        </w:rPr>
        <w:t>.</w:t>
      </w:r>
    </w:p>
    <w:p w14:paraId="6A2C184B" w14:textId="169B41CB" w:rsidR="006D6D0C" w:rsidRDefault="006D6D0C"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Рассмотрим поэтому сценарий максимально инерционной экономической и социальной политики. Собственно говоря, этот сценарий сейчас и реализуется. Самое простое (особенно в условия</w:t>
      </w:r>
      <w:r w:rsidR="000C1E00">
        <w:rPr>
          <w:rFonts w:ascii="Times New Roman" w:hAnsi="Times New Roman" w:cs="Times New Roman"/>
          <w:sz w:val="24"/>
          <w:szCs w:val="24"/>
        </w:rPr>
        <w:t>х цейтнота) это действовать так</w:t>
      </w:r>
      <w:r w:rsidR="00750B31">
        <w:rPr>
          <w:rFonts w:ascii="Times New Roman" w:hAnsi="Times New Roman" w:cs="Times New Roman"/>
          <w:sz w:val="24"/>
          <w:szCs w:val="24"/>
        </w:rPr>
        <w:t>,</w:t>
      </w:r>
      <w:r>
        <w:rPr>
          <w:rFonts w:ascii="Times New Roman" w:hAnsi="Times New Roman" w:cs="Times New Roman"/>
          <w:sz w:val="24"/>
          <w:szCs w:val="24"/>
        </w:rPr>
        <w:t xml:space="preserve"> как раньше. По крайней мере, ваши действия будут обладать для участников экономики важным положительным свойством – последовательностью и предсказуемостью.</w:t>
      </w:r>
    </w:p>
    <w:p w14:paraId="099DCDC1" w14:textId="79802ED2" w:rsidR="000A3517" w:rsidRDefault="006D6D0C"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Что сейчас изменилось? </w:t>
      </w:r>
      <w:r w:rsidR="000A3517">
        <w:rPr>
          <w:rFonts w:ascii="Times New Roman" w:hAnsi="Times New Roman" w:cs="Times New Roman"/>
          <w:sz w:val="24"/>
          <w:szCs w:val="24"/>
        </w:rPr>
        <w:t xml:space="preserve">Нет ежегодного избытка природной ренты (в виде экспортного дохода), нет возможности его перераспределять для поддержки второго </w:t>
      </w:r>
      <w:proofErr w:type="spellStart"/>
      <w:r w:rsidR="000A3517">
        <w:rPr>
          <w:rFonts w:ascii="Times New Roman" w:hAnsi="Times New Roman" w:cs="Times New Roman"/>
          <w:sz w:val="24"/>
          <w:szCs w:val="24"/>
        </w:rPr>
        <w:t>макросектора</w:t>
      </w:r>
      <w:proofErr w:type="spellEnd"/>
      <w:r w:rsidR="000A3517">
        <w:rPr>
          <w:rFonts w:ascii="Times New Roman" w:hAnsi="Times New Roman" w:cs="Times New Roman"/>
          <w:sz w:val="24"/>
          <w:szCs w:val="24"/>
        </w:rPr>
        <w:t xml:space="preserve"> экономики и финансирования социальных программ. Значит ли это, что «плохие институты», о которых мы писали выше, тут же прекратят свое существования или начнут меняться? Нет, мы не видим этого. Ведь в России есть резервы, использование которых позволяет «жить по-прежнему», следуя старым институтам. Так </w:t>
      </w:r>
      <w:r w:rsidR="00676A53">
        <w:rPr>
          <w:rFonts w:ascii="Times New Roman" w:hAnsi="Times New Roman" w:cs="Times New Roman"/>
          <w:sz w:val="24"/>
          <w:szCs w:val="24"/>
        </w:rPr>
        <w:t xml:space="preserve">все (начиная с правительства) и </w:t>
      </w:r>
      <w:r w:rsidR="000A3517">
        <w:rPr>
          <w:rFonts w:ascii="Times New Roman" w:hAnsi="Times New Roman" w:cs="Times New Roman"/>
          <w:sz w:val="24"/>
          <w:szCs w:val="24"/>
        </w:rPr>
        <w:t>поступа</w:t>
      </w:r>
      <w:r w:rsidR="00676A53">
        <w:rPr>
          <w:rFonts w:ascii="Times New Roman" w:hAnsi="Times New Roman" w:cs="Times New Roman"/>
          <w:sz w:val="24"/>
          <w:szCs w:val="24"/>
        </w:rPr>
        <w:t>ю</w:t>
      </w:r>
      <w:r w:rsidR="000A3517">
        <w:rPr>
          <w:rFonts w:ascii="Times New Roman" w:hAnsi="Times New Roman" w:cs="Times New Roman"/>
          <w:sz w:val="24"/>
          <w:szCs w:val="24"/>
        </w:rPr>
        <w:t>т</w:t>
      </w:r>
      <w:r w:rsidR="007271A7">
        <w:rPr>
          <w:rStyle w:val="af"/>
          <w:rFonts w:ascii="Times New Roman" w:hAnsi="Times New Roman" w:cs="Times New Roman"/>
          <w:sz w:val="24"/>
          <w:szCs w:val="24"/>
        </w:rPr>
        <w:footnoteReference w:id="9"/>
      </w:r>
      <w:r w:rsidR="000A3517">
        <w:rPr>
          <w:rFonts w:ascii="Times New Roman" w:hAnsi="Times New Roman" w:cs="Times New Roman"/>
          <w:sz w:val="24"/>
          <w:szCs w:val="24"/>
        </w:rPr>
        <w:t xml:space="preserve">. </w:t>
      </w:r>
    </w:p>
    <w:p w14:paraId="4D925C9A" w14:textId="2EB0A340" w:rsidR="006D6D0C" w:rsidRPr="009310E6" w:rsidRDefault="000A3517"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Надо сказать, что такое поведение было рациональным в 2008-2009 гг., когда речь шла о том, чтобы переждать плохой период – 2-3 года. Сейчас ситуация совершенно другая. Если даже экономические санкции снимут (открыв для крупного бизнеса доступ к дешевым заимствованиям), а цены на нефть поднимутся, ситуация 2003-2012 гг. повториться просто не может.  </w:t>
      </w:r>
    </w:p>
    <w:p w14:paraId="57C3BFCC" w14:textId="3FEEB4DA" w:rsidR="007271A7" w:rsidRDefault="007271A7"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Будем поэтому рассматривать модель развития </w:t>
      </w:r>
      <w:r w:rsidR="00676A53">
        <w:rPr>
          <w:rFonts w:ascii="Times New Roman" w:hAnsi="Times New Roman" w:cs="Times New Roman"/>
          <w:sz w:val="24"/>
          <w:szCs w:val="24"/>
        </w:rPr>
        <w:t xml:space="preserve">в </w:t>
      </w:r>
      <w:r>
        <w:rPr>
          <w:rFonts w:ascii="Times New Roman" w:hAnsi="Times New Roman" w:cs="Times New Roman"/>
          <w:sz w:val="24"/>
          <w:szCs w:val="24"/>
        </w:rPr>
        <w:t xml:space="preserve">ситуации, </w:t>
      </w:r>
      <w:r w:rsidR="00676A53">
        <w:rPr>
          <w:rFonts w:ascii="Times New Roman" w:hAnsi="Times New Roman" w:cs="Times New Roman"/>
          <w:sz w:val="24"/>
          <w:szCs w:val="24"/>
        </w:rPr>
        <w:t>когда</w:t>
      </w:r>
      <w:r>
        <w:rPr>
          <w:rFonts w:ascii="Times New Roman" w:hAnsi="Times New Roman" w:cs="Times New Roman"/>
          <w:sz w:val="24"/>
          <w:szCs w:val="24"/>
        </w:rPr>
        <w:t xml:space="preserve"> «фактор резервов» уже не существует</w:t>
      </w:r>
      <w:r w:rsidR="00750B31">
        <w:rPr>
          <w:rFonts w:ascii="Times New Roman" w:hAnsi="Times New Roman" w:cs="Times New Roman"/>
          <w:sz w:val="24"/>
          <w:szCs w:val="24"/>
        </w:rPr>
        <w:t>,</w:t>
      </w:r>
      <w:r w:rsidR="00676A53">
        <w:rPr>
          <w:rFonts w:ascii="Times New Roman" w:hAnsi="Times New Roman" w:cs="Times New Roman"/>
          <w:sz w:val="24"/>
          <w:szCs w:val="24"/>
        </w:rPr>
        <w:t xml:space="preserve"> или власть нашла в себе силы отказаться от его использования</w:t>
      </w:r>
      <w:r>
        <w:rPr>
          <w:rFonts w:ascii="Times New Roman" w:hAnsi="Times New Roman" w:cs="Times New Roman"/>
          <w:sz w:val="24"/>
          <w:szCs w:val="24"/>
        </w:rPr>
        <w:t>.</w:t>
      </w:r>
      <w:r w:rsidR="00676A53">
        <w:rPr>
          <w:rFonts w:ascii="Times New Roman" w:hAnsi="Times New Roman" w:cs="Times New Roman"/>
          <w:sz w:val="24"/>
          <w:szCs w:val="24"/>
        </w:rPr>
        <w:t xml:space="preserve"> </w:t>
      </w:r>
    </w:p>
    <w:p w14:paraId="48919015" w14:textId="28074229" w:rsidR="007271A7" w:rsidRDefault="007271A7"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Как будет развиваться </w:t>
      </w:r>
      <w:r w:rsidR="00676A53">
        <w:rPr>
          <w:rFonts w:ascii="Times New Roman" w:hAnsi="Times New Roman" w:cs="Times New Roman"/>
          <w:sz w:val="24"/>
          <w:szCs w:val="24"/>
        </w:rPr>
        <w:t xml:space="preserve">такая </w:t>
      </w:r>
      <w:r>
        <w:rPr>
          <w:rFonts w:ascii="Times New Roman" w:hAnsi="Times New Roman" w:cs="Times New Roman"/>
          <w:sz w:val="24"/>
          <w:szCs w:val="24"/>
        </w:rPr>
        <w:t xml:space="preserve">ситуация? </w:t>
      </w:r>
    </w:p>
    <w:p w14:paraId="1351601B" w14:textId="72FF3E97" w:rsidR="007271A7" w:rsidRPr="008552EB" w:rsidRDefault="007271A7"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Прекращение </w:t>
      </w:r>
      <w:r w:rsidR="00CF3F34">
        <w:rPr>
          <w:rFonts w:ascii="Times New Roman" w:hAnsi="Times New Roman" w:cs="Times New Roman"/>
          <w:sz w:val="24"/>
          <w:szCs w:val="24"/>
        </w:rPr>
        <w:t xml:space="preserve">регулярной </w:t>
      </w:r>
      <w:r>
        <w:rPr>
          <w:rFonts w:ascii="Times New Roman" w:hAnsi="Times New Roman" w:cs="Times New Roman"/>
          <w:sz w:val="24"/>
          <w:szCs w:val="24"/>
        </w:rPr>
        <w:t xml:space="preserve">подпитки крупного </w:t>
      </w:r>
      <w:proofErr w:type="spellStart"/>
      <w:r>
        <w:rPr>
          <w:rFonts w:ascii="Times New Roman" w:hAnsi="Times New Roman" w:cs="Times New Roman"/>
          <w:sz w:val="24"/>
          <w:szCs w:val="24"/>
        </w:rPr>
        <w:t>несырьевого</w:t>
      </w:r>
      <w:proofErr w:type="spellEnd"/>
      <w:r>
        <w:rPr>
          <w:rFonts w:ascii="Times New Roman" w:hAnsi="Times New Roman" w:cs="Times New Roman"/>
          <w:sz w:val="24"/>
          <w:szCs w:val="24"/>
        </w:rPr>
        <w:t xml:space="preserve"> бизнеса ведет к «замерзанию» соответствующих отраслей</w:t>
      </w:r>
      <w:r w:rsidR="00FF2833">
        <w:rPr>
          <w:rFonts w:ascii="Times New Roman" w:hAnsi="Times New Roman" w:cs="Times New Roman"/>
          <w:sz w:val="24"/>
          <w:szCs w:val="24"/>
        </w:rPr>
        <w:t xml:space="preserve"> – в первую очередь, инфраструктурного строительства и машиностроения</w:t>
      </w:r>
      <w:r>
        <w:rPr>
          <w:rFonts w:ascii="Times New Roman" w:hAnsi="Times New Roman" w:cs="Times New Roman"/>
          <w:sz w:val="24"/>
          <w:szCs w:val="24"/>
        </w:rPr>
        <w:t xml:space="preserve">. Сокращение финансирования социальных программ (по оценкам ВШЭ, на 30% в реальном выражении) – к снижению потребительского спроса и к </w:t>
      </w:r>
      <w:r w:rsidR="00FF2833">
        <w:rPr>
          <w:rFonts w:ascii="Times New Roman" w:hAnsi="Times New Roman" w:cs="Times New Roman"/>
          <w:sz w:val="24"/>
          <w:szCs w:val="24"/>
        </w:rPr>
        <w:t>«замерзанию»</w:t>
      </w:r>
      <w:r>
        <w:rPr>
          <w:rFonts w:ascii="Times New Roman" w:hAnsi="Times New Roman" w:cs="Times New Roman"/>
          <w:sz w:val="24"/>
          <w:szCs w:val="24"/>
        </w:rPr>
        <w:t xml:space="preserve"> сельского хозяйства, пищевой промышленности и ритейла</w:t>
      </w:r>
      <w:r w:rsidR="00FF2833">
        <w:rPr>
          <w:rFonts w:ascii="Times New Roman" w:hAnsi="Times New Roman" w:cs="Times New Roman"/>
          <w:sz w:val="24"/>
          <w:szCs w:val="24"/>
        </w:rPr>
        <w:t>.</w:t>
      </w:r>
    </w:p>
    <w:p w14:paraId="0BA1D672" w14:textId="3981E028" w:rsidR="007271A7" w:rsidRPr="009310E6" w:rsidRDefault="00CF3F34" w:rsidP="009310E6">
      <w:pPr>
        <w:pStyle w:val="af0"/>
        <w:spacing w:line="360" w:lineRule="auto"/>
        <w:ind w:left="0" w:firstLine="709"/>
        <w:jc w:val="both"/>
        <w:rPr>
          <w:rFonts w:ascii="Times New Roman" w:hAnsi="Times New Roman" w:cs="Times New Roman"/>
          <w:sz w:val="24"/>
          <w:szCs w:val="24"/>
        </w:rPr>
      </w:pPr>
      <w:r w:rsidRPr="009310E6">
        <w:rPr>
          <w:rFonts w:ascii="Times New Roman" w:hAnsi="Times New Roman" w:cs="Times New Roman"/>
          <w:sz w:val="24"/>
          <w:szCs w:val="24"/>
        </w:rPr>
        <w:t xml:space="preserve">В этих условиях важно, когда и на основе каких сигналов основные игроки поймут, что </w:t>
      </w:r>
      <w:r w:rsidR="00486F5C" w:rsidRPr="009310E6">
        <w:rPr>
          <w:rFonts w:ascii="Times New Roman" w:hAnsi="Times New Roman" w:cs="Times New Roman"/>
          <w:sz w:val="24"/>
          <w:szCs w:val="24"/>
        </w:rPr>
        <w:t>старые институты больше не могут работать. Мы говорим “поймут”, хотя применительно к большим социальным и элитным группам всегда будут выделяться как самые чуткие к изменениям</w:t>
      </w:r>
      <w:r w:rsidR="00676A53" w:rsidRPr="009310E6">
        <w:rPr>
          <w:rFonts w:ascii="Times New Roman" w:hAnsi="Times New Roman" w:cs="Times New Roman"/>
          <w:sz w:val="24"/>
          <w:szCs w:val="24"/>
        </w:rPr>
        <w:t xml:space="preserve"> игроки</w:t>
      </w:r>
      <w:r w:rsidR="00486F5C" w:rsidRPr="009310E6">
        <w:rPr>
          <w:rFonts w:ascii="Times New Roman" w:hAnsi="Times New Roman" w:cs="Times New Roman"/>
          <w:sz w:val="24"/>
          <w:szCs w:val="24"/>
        </w:rPr>
        <w:t>, так и аутсайдеры, упрямо живущие по-старому, когда все вокруг них уже перестроились. Так что речь идет не о формальных решениях</w:t>
      </w:r>
      <w:r w:rsidR="009C46F3" w:rsidRPr="009310E6">
        <w:rPr>
          <w:rFonts w:ascii="Times New Roman" w:hAnsi="Times New Roman" w:cs="Times New Roman"/>
          <w:sz w:val="24"/>
          <w:szCs w:val="24"/>
        </w:rPr>
        <w:t xml:space="preserve"> власти</w:t>
      </w:r>
      <w:r w:rsidR="00486F5C" w:rsidRPr="009310E6">
        <w:rPr>
          <w:rFonts w:ascii="Times New Roman" w:hAnsi="Times New Roman" w:cs="Times New Roman"/>
          <w:sz w:val="24"/>
          <w:szCs w:val="24"/>
        </w:rPr>
        <w:t>, а именно об изменении массового поведения – в том числе с точки зрения ожиданий</w:t>
      </w:r>
      <w:r w:rsidR="009C46F3" w:rsidRPr="009310E6">
        <w:rPr>
          <w:rFonts w:ascii="Times New Roman" w:hAnsi="Times New Roman" w:cs="Times New Roman"/>
          <w:sz w:val="24"/>
          <w:szCs w:val="24"/>
        </w:rPr>
        <w:t xml:space="preserve"> соответствующего поведения от других.</w:t>
      </w:r>
      <w:r w:rsidR="00486F5C" w:rsidRPr="009310E6">
        <w:rPr>
          <w:rFonts w:ascii="Times New Roman" w:hAnsi="Times New Roman" w:cs="Times New Roman"/>
          <w:sz w:val="24"/>
          <w:szCs w:val="24"/>
        </w:rPr>
        <w:t xml:space="preserve"> </w:t>
      </w:r>
      <w:r w:rsidRPr="009310E6">
        <w:rPr>
          <w:rFonts w:ascii="Times New Roman" w:hAnsi="Times New Roman" w:cs="Times New Roman"/>
          <w:sz w:val="24"/>
          <w:szCs w:val="24"/>
        </w:rPr>
        <w:t xml:space="preserve"> </w:t>
      </w:r>
      <w:r w:rsidR="009C46F3" w:rsidRPr="009310E6">
        <w:rPr>
          <w:rFonts w:ascii="Times New Roman" w:hAnsi="Times New Roman" w:cs="Times New Roman"/>
          <w:sz w:val="24"/>
          <w:szCs w:val="24"/>
        </w:rPr>
        <w:t>Решение власти (закон, указ, постановление, строка бюджета, наличие госпрограммы) может служить сигналом, но его может быть недостаточно. С другой стороны, власть может не подавать сигналов – а массовые игроки получат его из собственной практики и из наблюдения за поведением других.</w:t>
      </w:r>
    </w:p>
    <w:p w14:paraId="41E4AF85" w14:textId="1FF41FBF" w:rsidR="006D6D0C" w:rsidRPr="009310E6" w:rsidRDefault="009C46F3" w:rsidP="009310E6">
      <w:pPr>
        <w:pStyle w:val="af0"/>
        <w:spacing w:line="360" w:lineRule="auto"/>
        <w:ind w:left="0" w:firstLine="709"/>
        <w:jc w:val="both"/>
        <w:rPr>
          <w:rFonts w:ascii="Times New Roman" w:hAnsi="Times New Roman" w:cs="Times New Roman"/>
          <w:sz w:val="24"/>
          <w:szCs w:val="24"/>
        </w:rPr>
      </w:pPr>
      <w:r w:rsidRPr="009310E6">
        <w:rPr>
          <w:rFonts w:ascii="Times New Roman" w:hAnsi="Times New Roman" w:cs="Times New Roman"/>
          <w:sz w:val="24"/>
          <w:szCs w:val="24"/>
        </w:rPr>
        <w:t xml:space="preserve">Мы можем видеть факторы, которые будут </w:t>
      </w:r>
      <w:r w:rsidR="00D21608" w:rsidRPr="009310E6">
        <w:rPr>
          <w:rFonts w:ascii="Times New Roman" w:hAnsi="Times New Roman" w:cs="Times New Roman"/>
          <w:sz w:val="24"/>
          <w:szCs w:val="24"/>
        </w:rPr>
        <w:t>действовать в ближайшие два</w:t>
      </w:r>
      <w:r w:rsidR="005649EE" w:rsidRPr="009310E6">
        <w:rPr>
          <w:rFonts w:ascii="Times New Roman" w:hAnsi="Times New Roman" w:cs="Times New Roman"/>
          <w:sz w:val="24"/>
          <w:szCs w:val="24"/>
        </w:rPr>
        <w:t>-три</w:t>
      </w:r>
      <w:r w:rsidR="00D21608" w:rsidRPr="009310E6">
        <w:rPr>
          <w:rFonts w:ascii="Times New Roman" w:hAnsi="Times New Roman" w:cs="Times New Roman"/>
          <w:sz w:val="24"/>
          <w:szCs w:val="24"/>
        </w:rPr>
        <w:t xml:space="preserve"> года.</w:t>
      </w:r>
    </w:p>
    <w:p w14:paraId="57B6548A" w14:textId="6EDF3BDD" w:rsidR="00D21608" w:rsidRPr="009310E6" w:rsidRDefault="00D21608" w:rsidP="009310E6">
      <w:pPr>
        <w:pStyle w:val="af0"/>
        <w:spacing w:line="360" w:lineRule="auto"/>
        <w:ind w:left="0" w:firstLine="709"/>
        <w:jc w:val="both"/>
        <w:rPr>
          <w:rFonts w:ascii="Times New Roman" w:hAnsi="Times New Roman" w:cs="Times New Roman"/>
          <w:sz w:val="24"/>
          <w:szCs w:val="24"/>
        </w:rPr>
      </w:pPr>
      <w:r w:rsidRPr="009310E6">
        <w:rPr>
          <w:rFonts w:ascii="Times New Roman" w:hAnsi="Times New Roman" w:cs="Times New Roman"/>
          <w:sz w:val="24"/>
          <w:szCs w:val="24"/>
        </w:rPr>
        <w:t xml:space="preserve">Первый – это снижение инфляции (точно - до однозначных значений и с высокой вероятностью – до 6-7%). Этого, может быть, недостаточно для изменения поведения бизнеса в обычных условиях, но на фоне значительного падения спроса даже 7% ожидаемая инфляция может послужить сигналом для снижения планки доходности  при оценке новых проектов. </w:t>
      </w:r>
      <w:r w:rsidR="002E0595" w:rsidRPr="009310E6">
        <w:rPr>
          <w:rFonts w:ascii="Times New Roman" w:hAnsi="Times New Roman" w:cs="Times New Roman"/>
          <w:sz w:val="24"/>
          <w:szCs w:val="24"/>
        </w:rPr>
        <w:t xml:space="preserve">Более доступный кредит – это </w:t>
      </w:r>
      <w:r w:rsidR="00676A53" w:rsidRPr="009310E6">
        <w:rPr>
          <w:rFonts w:ascii="Times New Roman" w:hAnsi="Times New Roman" w:cs="Times New Roman"/>
          <w:sz w:val="24"/>
          <w:szCs w:val="24"/>
        </w:rPr>
        <w:t xml:space="preserve">реальный </w:t>
      </w:r>
      <w:r w:rsidR="002E0595" w:rsidRPr="009310E6">
        <w:rPr>
          <w:rFonts w:ascii="Times New Roman" w:hAnsi="Times New Roman" w:cs="Times New Roman"/>
          <w:sz w:val="24"/>
          <w:szCs w:val="24"/>
        </w:rPr>
        <w:t>сигнал для бизнеса.</w:t>
      </w:r>
    </w:p>
    <w:p w14:paraId="229721C8" w14:textId="2C7DF8D5" w:rsidR="002E0595" w:rsidRPr="009310E6" w:rsidRDefault="002E0595" w:rsidP="009310E6">
      <w:pPr>
        <w:pStyle w:val="af0"/>
        <w:spacing w:line="360" w:lineRule="auto"/>
        <w:ind w:left="0" w:firstLine="709"/>
        <w:jc w:val="both"/>
        <w:rPr>
          <w:rFonts w:ascii="Times New Roman" w:hAnsi="Times New Roman" w:cs="Times New Roman"/>
          <w:sz w:val="24"/>
          <w:szCs w:val="24"/>
        </w:rPr>
      </w:pPr>
      <w:r w:rsidRPr="009310E6">
        <w:rPr>
          <w:rFonts w:ascii="Times New Roman" w:hAnsi="Times New Roman" w:cs="Times New Roman"/>
          <w:sz w:val="24"/>
          <w:szCs w:val="24"/>
        </w:rPr>
        <w:t xml:space="preserve">Второй – </w:t>
      </w:r>
      <w:r w:rsidR="00676A53" w:rsidRPr="009310E6">
        <w:rPr>
          <w:rFonts w:ascii="Times New Roman" w:hAnsi="Times New Roman" w:cs="Times New Roman"/>
          <w:sz w:val="24"/>
          <w:szCs w:val="24"/>
        </w:rPr>
        <w:t xml:space="preserve">серьезное </w:t>
      </w:r>
      <w:r w:rsidRPr="009310E6">
        <w:rPr>
          <w:rFonts w:ascii="Times New Roman" w:hAnsi="Times New Roman" w:cs="Times New Roman"/>
          <w:sz w:val="24"/>
          <w:szCs w:val="24"/>
        </w:rPr>
        <w:t xml:space="preserve">ухудшение условий для вывода российским бизнесом активов из страны.  Можно сказать, “не было бы счастья, да несчастье помогло”. </w:t>
      </w:r>
      <w:r w:rsidR="00676A53" w:rsidRPr="009310E6">
        <w:rPr>
          <w:rFonts w:ascii="Times New Roman" w:hAnsi="Times New Roman" w:cs="Times New Roman"/>
          <w:sz w:val="24"/>
          <w:szCs w:val="24"/>
        </w:rPr>
        <w:t>Глобальная</w:t>
      </w:r>
      <w:r w:rsidRPr="009310E6">
        <w:rPr>
          <w:rFonts w:ascii="Times New Roman" w:hAnsi="Times New Roman" w:cs="Times New Roman"/>
          <w:sz w:val="24"/>
          <w:szCs w:val="24"/>
        </w:rPr>
        <w:t xml:space="preserve"> атака</w:t>
      </w:r>
      <w:r w:rsidR="00676A53" w:rsidRPr="009310E6">
        <w:rPr>
          <w:rFonts w:ascii="Times New Roman" w:hAnsi="Times New Roman" w:cs="Times New Roman"/>
          <w:sz w:val="24"/>
          <w:szCs w:val="24"/>
        </w:rPr>
        <w:t xml:space="preserve"> СМИ и правительств</w:t>
      </w:r>
      <w:r w:rsidRPr="009310E6">
        <w:rPr>
          <w:rFonts w:ascii="Times New Roman" w:hAnsi="Times New Roman" w:cs="Times New Roman"/>
          <w:sz w:val="24"/>
          <w:szCs w:val="24"/>
        </w:rPr>
        <w:t xml:space="preserve"> на оффшорные счета – один из сигналов (но далеко не единственный). Этот фактор </w:t>
      </w:r>
      <w:r w:rsidR="00676A53" w:rsidRPr="009310E6">
        <w:rPr>
          <w:rFonts w:ascii="Times New Roman" w:hAnsi="Times New Roman" w:cs="Times New Roman"/>
          <w:sz w:val="24"/>
          <w:szCs w:val="24"/>
        </w:rPr>
        <w:t xml:space="preserve">тоже </w:t>
      </w:r>
      <w:r w:rsidRPr="009310E6">
        <w:rPr>
          <w:rFonts w:ascii="Times New Roman" w:hAnsi="Times New Roman" w:cs="Times New Roman"/>
          <w:sz w:val="24"/>
          <w:szCs w:val="24"/>
        </w:rPr>
        <w:t xml:space="preserve">будет </w:t>
      </w:r>
      <w:r w:rsidR="005649EE" w:rsidRPr="009310E6">
        <w:rPr>
          <w:rFonts w:ascii="Times New Roman" w:hAnsi="Times New Roman" w:cs="Times New Roman"/>
          <w:sz w:val="24"/>
          <w:szCs w:val="24"/>
        </w:rPr>
        <w:t>работ</w:t>
      </w:r>
      <w:r w:rsidRPr="009310E6">
        <w:rPr>
          <w:rFonts w:ascii="Times New Roman" w:hAnsi="Times New Roman" w:cs="Times New Roman"/>
          <w:sz w:val="24"/>
          <w:szCs w:val="24"/>
        </w:rPr>
        <w:t xml:space="preserve">ать на понижение </w:t>
      </w:r>
      <w:r w:rsidR="005649EE" w:rsidRPr="009310E6">
        <w:rPr>
          <w:rFonts w:ascii="Times New Roman" w:hAnsi="Times New Roman" w:cs="Times New Roman"/>
          <w:sz w:val="24"/>
          <w:szCs w:val="24"/>
        </w:rPr>
        <w:t>“требуемой доходности”</w:t>
      </w:r>
      <w:r w:rsidRPr="009310E6">
        <w:rPr>
          <w:rFonts w:ascii="Times New Roman" w:hAnsi="Times New Roman" w:cs="Times New Roman"/>
          <w:sz w:val="24"/>
          <w:szCs w:val="24"/>
        </w:rPr>
        <w:t xml:space="preserve"> российского</w:t>
      </w:r>
      <w:r w:rsidR="005649EE" w:rsidRPr="009310E6">
        <w:rPr>
          <w:rFonts w:ascii="Times New Roman" w:hAnsi="Times New Roman" w:cs="Times New Roman"/>
          <w:sz w:val="24"/>
          <w:szCs w:val="24"/>
        </w:rPr>
        <w:t xml:space="preserve"> крупного бизнеса.</w:t>
      </w:r>
      <w:r w:rsidRPr="009310E6">
        <w:rPr>
          <w:rFonts w:ascii="Times New Roman" w:hAnsi="Times New Roman" w:cs="Times New Roman"/>
          <w:sz w:val="24"/>
          <w:szCs w:val="24"/>
        </w:rPr>
        <w:t xml:space="preserve"> </w:t>
      </w:r>
    </w:p>
    <w:p w14:paraId="7372B747" w14:textId="4B2CF72D" w:rsidR="005649EE" w:rsidRPr="009310E6" w:rsidRDefault="005649EE" w:rsidP="009310E6">
      <w:pPr>
        <w:pStyle w:val="af0"/>
        <w:spacing w:line="360" w:lineRule="auto"/>
        <w:ind w:left="0" w:firstLine="709"/>
        <w:jc w:val="both"/>
        <w:rPr>
          <w:rFonts w:ascii="Times New Roman" w:hAnsi="Times New Roman" w:cs="Times New Roman"/>
          <w:sz w:val="24"/>
          <w:szCs w:val="24"/>
        </w:rPr>
      </w:pPr>
      <w:r w:rsidRPr="009310E6">
        <w:rPr>
          <w:rFonts w:ascii="Times New Roman" w:hAnsi="Times New Roman" w:cs="Times New Roman"/>
          <w:sz w:val="24"/>
          <w:szCs w:val="24"/>
        </w:rPr>
        <w:t xml:space="preserve">Таким образом, </w:t>
      </w:r>
      <w:r w:rsidRPr="009310E6">
        <w:rPr>
          <w:rFonts w:ascii="Times New Roman" w:hAnsi="Times New Roman" w:cs="Times New Roman"/>
          <w:b/>
          <w:sz w:val="24"/>
          <w:szCs w:val="24"/>
        </w:rPr>
        <w:t xml:space="preserve">стартовые условия для демонтажа “плохого института” завышенных требований к доходности/склонности к коротким проектам со стороны крупного российского бизнеса будут созданы только продолжением действующей макроэкономической и монетарной политики государства, без резких поворотов и необходимости </w:t>
      </w:r>
      <w:r w:rsidR="00D4576F" w:rsidRPr="009310E6">
        <w:rPr>
          <w:rFonts w:ascii="Times New Roman" w:hAnsi="Times New Roman" w:cs="Times New Roman"/>
          <w:b/>
          <w:sz w:val="24"/>
          <w:szCs w:val="24"/>
        </w:rPr>
        <w:t>политической</w:t>
      </w:r>
      <w:r w:rsidRPr="009310E6">
        <w:rPr>
          <w:rFonts w:ascii="Times New Roman" w:hAnsi="Times New Roman" w:cs="Times New Roman"/>
          <w:b/>
          <w:sz w:val="24"/>
          <w:szCs w:val="24"/>
        </w:rPr>
        <w:t xml:space="preserve"> мобилизации элит</w:t>
      </w:r>
      <w:r w:rsidRPr="009310E6">
        <w:rPr>
          <w:rFonts w:ascii="Times New Roman" w:hAnsi="Times New Roman" w:cs="Times New Roman"/>
          <w:sz w:val="24"/>
          <w:szCs w:val="24"/>
        </w:rPr>
        <w:t xml:space="preserve">. </w:t>
      </w:r>
    </w:p>
    <w:p w14:paraId="168D94CC" w14:textId="77BFC2D7" w:rsidR="005649EE" w:rsidRPr="009310E6" w:rsidRDefault="00D4576F" w:rsidP="009310E6">
      <w:pPr>
        <w:pStyle w:val="af0"/>
        <w:spacing w:line="360" w:lineRule="auto"/>
        <w:ind w:left="0" w:firstLine="709"/>
        <w:jc w:val="both"/>
        <w:rPr>
          <w:rFonts w:ascii="Times New Roman" w:hAnsi="Times New Roman" w:cs="Times New Roman"/>
          <w:sz w:val="24"/>
          <w:szCs w:val="24"/>
        </w:rPr>
      </w:pPr>
      <w:r w:rsidRPr="009310E6">
        <w:rPr>
          <w:rFonts w:ascii="Times New Roman" w:hAnsi="Times New Roman" w:cs="Times New Roman"/>
          <w:sz w:val="24"/>
          <w:szCs w:val="24"/>
        </w:rPr>
        <w:t>С другой стороны</w:t>
      </w:r>
      <w:r w:rsidR="002E35A4" w:rsidRPr="009310E6">
        <w:rPr>
          <w:rFonts w:ascii="Times New Roman" w:hAnsi="Times New Roman" w:cs="Times New Roman"/>
          <w:sz w:val="24"/>
          <w:szCs w:val="24"/>
        </w:rPr>
        <w:t xml:space="preserve">, </w:t>
      </w:r>
      <w:r w:rsidR="00676A53" w:rsidRPr="009310E6">
        <w:rPr>
          <w:rFonts w:ascii="Times New Roman" w:hAnsi="Times New Roman" w:cs="Times New Roman"/>
          <w:sz w:val="24"/>
          <w:szCs w:val="24"/>
        </w:rPr>
        <w:t xml:space="preserve">другие </w:t>
      </w:r>
      <w:r w:rsidR="002E35A4" w:rsidRPr="009310E6">
        <w:rPr>
          <w:rFonts w:ascii="Times New Roman" w:hAnsi="Times New Roman" w:cs="Times New Roman"/>
          <w:sz w:val="24"/>
          <w:szCs w:val="24"/>
        </w:rPr>
        <w:t xml:space="preserve">необходимые изменения потребуют смены политики государства как на федеральном (модификация судебной системы и ее взаимодействия с прокуратурой и органами следствия), так и на региональном (отказ от “принудительной благотворительности” и в конечном счете от реализации проектов не за счет бюджета). </w:t>
      </w:r>
      <w:r w:rsidR="002E35A4" w:rsidRPr="009310E6">
        <w:rPr>
          <w:rFonts w:ascii="Times New Roman" w:hAnsi="Times New Roman" w:cs="Times New Roman"/>
          <w:sz w:val="24"/>
          <w:szCs w:val="24"/>
        </w:rPr>
        <w:lastRenderedPageBreak/>
        <w:t xml:space="preserve">Учитывая неформальный характер институтов, сложившихся в этих системах, </w:t>
      </w:r>
      <w:r w:rsidR="00FB5D12" w:rsidRPr="009310E6">
        <w:rPr>
          <w:rFonts w:ascii="Times New Roman" w:hAnsi="Times New Roman" w:cs="Times New Roman"/>
          <w:sz w:val="24"/>
          <w:szCs w:val="24"/>
        </w:rPr>
        <w:t xml:space="preserve">можно ожидать, что переход к новому состоянию займет </w:t>
      </w:r>
      <w:r w:rsidR="00676A53" w:rsidRPr="009310E6">
        <w:rPr>
          <w:rFonts w:ascii="Times New Roman" w:hAnsi="Times New Roman" w:cs="Times New Roman"/>
          <w:sz w:val="24"/>
          <w:szCs w:val="24"/>
        </w:rPr>
        <w:t xml:space="preserve">не менее </w:t>
      </w:r>
      <w:r w:rsidR="00FB5D12" w:rsidRPr="009310E6">
        <w:rPr>
          <w:rFonts w:ascii="Times New Roman" w:hAnsi="Times New Roman" w:cs="Times New Roman"/>
          <w:sz w:val="24"/>
          <w:szCs w:val="24"/>
        </w:rPr>
        <w:t xml:space="preserve">7-10 лет. </w:t>
      </w:r>
    </w:p>
    <w:p w14:paraId="122D99BA" w14:textId="4C56F315" w:rsidR="000B0821" w:rsidRPr="009310E6" w:rsidRDefault="00FB5D12" w:rsidP="009310E6">
      <w:pPr>
        <w:pStyle w:val="af0"/>
        <w:spacing w:line="360" w:lineRule="auto"/>
        <w:ind w:left="0" w:firstLine="709"/>
        <w:jc w:val="both"/>
        <w:rPr>
          <w:rFonts w:ascii="Times New Roman" w:hAnsi="Times New Roman" w:cs="Times New Roman"/>
          <w:sz w:val="24"/>
          <w:szCs w:val="24"/>
        </w:rPr>
      </w:pPr>
      <w:r w:rsidRPr="009310E6">
        <w:rPr>
          <w:rFonts w:ascii="Times New Roman" w:hAnsi="Times New Roman" w:cs="Times New Roman"/>
          <w:sz w:val="24"/>
          <w:szCs w:val="24"/>
        </w:rPr>
        <w:t>Смена политики требуется и в отношении третьей группы условий нового равновесия. Это формирование национальных институтов “длинных денег”, аккумулирующих страховые платежи населения и инвестирующих их в долгосрочные проекты через размещение средств на фондовом рынке. Здесь речь идет о именно политическом решении</w:t>
      </w:r>
      <w:r w:rsidR="002E52AF" w:rsidRPr="009310E6">
        <w:rPr>
          <w:rFonts w:ascii="Times New Roman" w:hAnsi="Times New Roman" w:cs="Times New Roman"/>
          <w:sz w:val="24"/>
          <w:szCs w:val="24"/>
        </w:rPr>
        <w:t xml:space="preserve"> (или двух решениях) руководства страны и парламента о повышении пенсионного возраста и о переходе к накопительной пенсионной системе. Само это решение политически возможно в 2018 году, </w:t>
      </w:r>
      <w:r w:rsidR="000B0821" w:rsidRPr="009310E6">
        <w:rPr>
          <w:rFonts w:ascii="Times New Roman" w:hAnsi="Times New Roman" w:cs="Times New Roman"/>
          <w:sz w:val="24"/>
          <w:szCs w:val="24"/>
        </w:rPr>
        <w:t>но</w:t>
      </w:r>
      <w:r w:rsidR="002E52AF" w:rsidRPr="009310E6">
        <w:rPr>
          <w:rFonts w:ascii="Times New Roman" w:hAnsi="Times New Roman" w:cs="Times New Roman"/>
          <w:sz w:val="24"/>
          <w:szCs w:val="24"/>
        </w:rPr>
        <w:t xml:space="preserve"> </w:t>
      </w:r>
      <w:r w:rsidR="000B0821" w:rsidRPr="009310E6">
        <w:rPr>
          <w:rFonts w:ascii="Times New Roman" w:hAnsi="Times New Roman" w:cs="Times New Roman"/>
          <w:sz w:val="24"/>
          <w:szCs w:val="24"/>
        </w:rPr>
        <w:t xml:space="preserve">конечный </w:t>
      </w:r>
      <w:r w:rsidR="002E52AF" w:rsidRPr="009310E6">
        <w:rPr>
          <w:rFonts w:ascii="Times New Roman" w:hAnsi="Times New Roman" w:cs="Times New Roman"/>
          <w:sz w:val="24"/>
          <w:szCs w:val="24"/>
        </w:rPr>
        <w:t xml:space="preserve">эффект от его реализации экономика получит через </w:t>
      </w:r>
      <w:r w:rsidR="000B0821" w:rsidRPr="009310E6">
        <w:rPr>
          <w:rFonts w:ascii="Times New Roman" w:hAnsi="Times New Roman" w:cs="Times New Roman"/>
          <w:sz w:val="24"/>
          <w:szCs w:val="24"/>
        </w:rPr>
        <w:t xml:space="preserve">несколько </w:t>
      </w:r>
      <w:r w:rsidR="002E52AF" w:rsidRPr="009310E6">
        <w:rPr>
          <w:rFonts w:ascii="Times New Roman" w:hAnsi="Times New Roman" w:cs="Times New Roman"/>
          <w:sz w:val="24"/>
          <w:szCs w:val="24"/>
        </w:rPr>
        <w:t>десятилети</w:t>
      </w:r>
      <w:r w:rsidR="000B0821" w:rsidRPr="009310E6">
        <w:rPr>
          <w:rFonts w:ascii="Times New Roman" w:hAnsi="Times New Roman" w:cs="Times New Roman"/>
          <w:sz w:val="24"/>
          <w:szCs w:val="24"/>
        </w:rPr>
        <w:t>й</w:t>
      </w:r>
      <w:r w:rsidR="002E52AF" w:rsidRPr="009310E6">
        <w:rPr>
          <w:rFonts w:ascii="Times New Roman" w:hAnsi="Times New Roman" w:cs="Times New Roman"/>
          <w:sz w:val="24"/>
          <w:szCs w:val="24"/>
        </w:rPr>
        <w:t xml:space="preserve">.  </w:t>
      </w:r>
      <w:r w:rsidRPr="009310E6">
        <w:rPr>
          <w:rFonts w:ascii="Times New Roman" w:hAnsi="Times New Roman" w:cs="Times New Roman"/>
          <w:sz w:val="24"/>
          <w:szCs w:val="24"/>
        </w:rPr>
        <w:t xml:space="preserve"> </w:t>
      </w:r>
    </w:p>
    <w:p w14:paraId="7A6F41BE" w14:textId="77777777" w:rsidR="000B0821" w:rsidRDefault="000B0821" w:rsidP="009310E6">
      <w:pPr>
        <w:pStyle w:val="af0"/>
        <w:spacing w:line="360" w:lineRule="auto"/>
        <w:ind w:left="0" w:firstLine="709"/>
        <w:jc w:val="both"/>
        <w:rPr>
          <w:rFonts w:ascii="Times New Roman" w:hAnsi="Times New Roman" w:cs="Times New Roman"/>
          <w:sz w:val="24"/>
          <w:szCs w:val="24"/>
        </w:rPr>
      </w:pPr>
    </w:p>
    <w:p w14:paraId="35421557" w14:textId="49AD233C" w:rsidR="00CA1AE2" w:rsidRDefault="00CA1AE2"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Существуют ли </w:t>
      </w:r>
      <w:r w:rsidR="000B0821">
        <w:rPr>
          <w:rFonts w:ascii="Times New Roman" w:hAnsi="Times New Roman" w:cs="Times New Roman"/>
          <w:sz w:val="24"/>
          <w:szCs w:val="24"/>
        </w:rPr>
        <w:t xml:space="preserve">в среднесрочном периоде </w:t>
      </w:r>
      <w:r w:rsidRPr="009D62BA">
        <w:rPr>
          <w:rFonts w:ascii="Times New Roman" w:hAnsi="Times New Roman" w:cs="Times New Roman"/>
          <w:b/>
          <w:sz w:val="24"/>
          <w:szCs w:val="24"/>
        </w:rPr>
        <w:t>альтернативные сценарии</w:t>
      </w:r>
      <w:r>
        <w:rPr>
          <w:rFonts w:ascii="Times New Roman" w:hAnsi="Times New Roman" w:cs="Times New Roman"/>
          <w:sz w:val="24"/>
          <w:szCs w:val="24"/>
        </w:rPr>
        <w:t>?</w:t>
      </w:r>
    </w:p>
    <w:p w14:paraId="0CA24E93" w14:textId="0EB0E85F" w:rsidR="000B0821" w:rsidRDefault="00F60EC8"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говорить не о спекулятивных сценариях, а о позициях, получивших в последнее время достаточно широкую общественно-политическую поддержку</w:t>
      </w:r>
      <w:r w:rsidR="008552EB">
        <w:rPr>
          <w:rFonts w:ascii="Times New Roman" w:hAnsi="Times New Roman" w:cs="Times New Roman"/>
          <w:sz w:val="24"/>
          <w:szCs w:val="24"/>
        </w:rPr>
        <w:t xml:space="preserve"> и, соответственно, могущих быть реализованными политически </w:t>
      </w:r>
      <w:r>
        <w:rPr>
          <w:rFonts w:ascii="Times New Roman" w:hAnsi="Times New Roman" w:cs="Times New Roman"/>
          <w:sz w:val="24"/>
          <w:szCs w:val="24"/>
        </w:rPr>
        <w:t xml:space="preserve">, </w:t>
      </w:r>
      <w:r w:rsidR="008552EB">
        <w:rPr>
          <w:rFonts w:ascii="Times New Roman" w:hAnsi="Times New Roman" w:cs="Times New Roman"/>
          <w:sz w:val="24"/>
          <w:szCs w:val="24"/>
        </w:rPr>
        <w:t xml:space="preserve">то </w:t>
      </w:r>
      <w:r>
        <w:rPr>
          <w:rFonts w:ascii="Times New Roman" w:hAnsi="Times New Roman" w:cs="Times New Roman"/>
          <w:sz w:val="24"/>
          <w:szCs w:val="24"/>
        </w:rPr>
        <w:t>таких сценариев два.</w:t>
      </w:r>
    </w:p>
    <w:p w14:paraId="2024CD3A" w14:textId="05C1FC55" w:rsidR="00F60EC8" w:rsidRDefault="00F60EC8"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Первый – «завести» экономику </w:t>
      </w:r>
      <w:r w:rsidRPr="009D62BA">
        <w:rPr>
          <w:rFonts w:ascii="Times New Roman" w:hAnsi="Times New Roman" w:cs="Times New Roman"/>
          <w:b/>
          <w:sz w:val="24"/>
          <w:szCs w:val="24"/>
        </w:rPr>
        <w:t>дешевыми кредитами</w:t>
      </w:r>
      <w:r>
        <w:rPr>
          <w:rFonts w:ascii="Times New Roman" w:hAnsi="Times New Roman" w:cs="Times New Roman"/>
          <w:sz w:val="24"/>
          <w:szCs w:val="24"/>
        </w:rPr>
        <w:t xml:space="preserve">, даже за счет того, что инфляция сохраняется двузначной, а рубль еще сильнее девальвируется. Фактически это сценарий </w:t>
      </w:r>
      <w:proofErr w:type="spellStart"/>
      <w:r w:rsidR="008552EB">
        <w:rPr>
          <w:rFonts w:ascii="Times New Roman" w:hAnsi="Times New Roman" w:cs="Times New Roman"/>
          <w:sz w:val="24"/>
          <w:szCs w:val="24"/>
        </w:rPr>
        <w:t>несырьевого</w:t>
      </w:r>
      <w:proofErr w:type="spellEnd"/>
      <w:r w:rsidR="008552EB">
        <w:rPr>
          <w:rFonts w:ascii="Times New Roman" w:hAnsi="Times New Roman" w:cs="Times New Roman"/>
          <w:sz w:val="24"/>
          <w:szCs w:val="24"/>
        </w:rPr>
        <w:t xml:space="preserve"> </w:t>
      </w:r>
      <w:r>
        <w:rPr>
          <w:rFonts w:ascii="Times New Roman" w:hAnsi="Times New Roman" w:cs="Times New Roman"/>
          <w:sz w:val="24"/>
          <w:szCs w:val="24"/>
        </w:rPr>
        <w:t xml:space="preserve">бизнеса, претендующего на сохранение старых, привычных институтов </w:t>
      </w:r>
      <w:r w:rsidR="008552EB">
        <w:rPr>
          <w:rFonts w:ascii="Times New Roman" w:hAnsi="Times New Roman" w:cs="Times New Roman"/>
          <w:sz w:val="24"/>
          <w:szCs w:val="24"/>
        </w:rPr>
        <w:t xml:space="preserve">своей </w:t>
      </w:r>
      <w:r>
        <w:rPr>
          <w:rFonts w:ascii="Times New Roman" w:hAnsi="Times New Roman" w:cs="Times New Roman"/>
          <w:sz w:val="24"/>
          <w:szCs w:val="24"/>
        </w:rPr>
        <w:t xml:space="preserve">подпитки – в измененной форме, с новым источником: «Геращенко вместо </w:t>
      </w:r>
      <w:proofErr w:type="spellStart"/>
      <w:r>
        <w:rPr>
          <w:rFonts w:ascii="Times New Roman" w:hAnsi="Times New Roman" w:cs="Times New Roman"/>
          <w:sz w:val="24"/>
          <w:szCs w:val="24"/>
        </w:rPr>
        <w:t>Сечина</w:t>
      </w:r>
      <w:proofErr w:type="spellEnd"/>
      <w:r>
        <w:rPr>
          <w:rFonts w:ascii="Times New Roman" w:hAnsi="Times New Roman" w:cs="Times New Roman"/>
          <w:sz w:val="24"/>
          <w:szCs w:val="24"/>
        </w:rPr>
        <w:t>». Не рассматривая реалистичность данного сценария с точки зрения эффектов «кредитной накачки», нельзя не отметить, что его реализация будет происходить за счет наемных работников и пенсионеров</w:t>
      </w:r>
      <w:r w:rsidR="009D4DF3">
        <w:rPr>
          <w:rFonts w:ascii="Times New Roman" w:hAnsi="Times New Roman" w:cs="Times New Roman"/>
          <w:sz w:val="24"/>
          <w:szCs w:val="24"/>
        </w:rPr>
        <w:t xml:space="preserve"> (разрушая тем самым электоральную базу нынешней власти)</w:t>
      </w:r>
      <w:r>
        <w:rPr>
          <w:rFonts w:ascii="Times New Roman" w:hAnsi="Times New Roman" w:cs="Times New Roman"/>
          <w:sz w:val="24"/>
          <w:szCs w:val="24"/>
        </w:rPr>
        <w:t xml:space="preserve">, а ее непосредственный рыночный эффект – падение платежеспособного спроса домохозяйств – сделает </w:t>
      </w:r>
      <w:r w:rsidR="009D4DF3">
        <w:rPr>
          <w:rFonts w:ascii="Times New Roman" w:hAnsi="Times New Roman" w:cs="Times New Roman"/>
          <w:sz w:val="24"/>
          <w:szCs w:val="24"/>
        </w:rPr>
        <w:t xml:space="preserve">бессмысленным </w:t>
      </w:r>
      <w:r>
        <w:rPr>
          <w:rFonts w:ascii="Times New Roman" w:hAnsi="Times New Roman" w:cs="Times New Roman"/>
          <w:sz w:val="24"/>
          <w:szCs w:val="24"/>
        </w:rPr>
        <w:t xml:space="preserve">кредитное </w:t>
      </w:r>
      <w:r w:rsidR="009D4DF3">
        <w:rPr>
          <w:rFonts w:ascii="Times New Roman" w:hAnsi="Times New Roman" w:cs="Times New Roman"/>
          <w:sz w:val="24"/>
          <w:szCs w:val="24"/>
        </w:rPr>
        <w:t xml:space="preserve">стимулирование </w:t>
      </w:r>
      <w:r>
        <w:rPr>
          <w:rFonts w:ascii="Times New Roman" w:hAnsi="Times New Roman" w:cs="Times New Roman"/>
          <w:sz w:val="24"/>
          <w:szCs w:val="24"/>
        </w:rPr>
        <w:t>предложения.</w:t>
      </w:r>
    </w:p>
    <w:p w14:paraId="3011F395" w14:textId="7DFA0651" w:rsidR="00F60EC8" w:rsidRDefault="00F60EC8"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Второй сценарий более последователен, он предлагает </w:t>
      </w:r>
      <w:r w:rsidRPr="009D62BA">
        <w:rPr>
          <w:rFonts w:ascii="Times New Roman" w:hAnsi="Times New Roman" w:cs="Times New Roman"/>
          <w:b/>
          <w:sz w:val="24"/>
          <w:szCs w:val="24"/>
        </w:rPr>
        <w:t>закрепить ресурсы</w:t>
      </w:r>
      <w:r w:rsidR="008552EB" w:rsidRPr="009D62BA">
        <w:rPr>
          <w:rFonts w:ascii="Times New Roman" w:hAnsi="Times New Roman" w:cs="Times New Roman"/>
          <w:b/>
          <w:sz w:val="24"/>
          <w:szCs w:val="24"/>
        </w:rPr>
        <w:t xml:space="preserve"> в стране</w:t>
      </w:r>
      <w:r>
        <w:rPr>
          <w:rFonts w:ascii="Times New Roman" w:hAnsi="Times New Roman" w:cs="Times New Roman"/>
          <w:sz w:val="24"/>
          <w:szCs w:val="24"/>
        </w:rPr>
        <w:t xml:space="preserve"> путем обязательной продажи валюты и запрета на вывоз капитала.</w:t>
      </w:r>
      <w:r w:rsidR="008552EB">
        <w:rPr>
          <w:rFonts w:ascii="Times New Roman" w:hAnsi="Times New Roman" w:cs="Times New Roman"/>
          <w:sz w:val="24"/>
          <w:szCs w:val="24"/>
        </w:rPr>
        <w:t xml:space="preserve"> Эта модель способна создать новое равновесие в закрытой экспортирующей экономике. Но уже в 10-летней перспективе ее реализация приведет к катастрофическому технологическому отставанию России.</w:t>
      </w:r>
    </w:p>
    <w:p w14:paraId="3C2052B4" w14:textId="5A680B5D" w:rsidR="00CA1AE2" w:rsidRDefault="00D35A1A"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нашему мнению, </w:t>
      </w:r>
      <w:r w:rsidR="00234671">
        <w:rPr>
          <w:rFonts w:ascii="Times New Roman" w:hAnsi="Times New Roman" w:cs="Times New Roman"/>
          <w:sz w:val="24"/>
          <w:szCs w:val="24"/>
        </w:rPr>
        <w:t xml:space="preserve">реализация указанных альтернативных сценариев несет неприемлемые риски для развития страны. Но вероятность </w:t>
      </w:r>
      <w:r w:rsidR="00C40945">
        <w:rPr>
          <w:rFonts w:ascii="Times New Roman" w:hAnsi="Times New Roman" w:cs="Times New Roman"/>
          <w:sz w:val="24"/>
          <w:szCs w:val="24"/>
        </w:rPr>
        <w:t>их</w:t>
      </w:r>
      <w:r w:rsidR="00234671">
        <w:rPr>
          <w:rFonts w:ascii="Times New Roman" w:hAnsi="Times New Roman" w:cs="Times New Roman"/>
          <w:sz w:val="24"/>
          <w:szCs w:val="24"/>
        </w:rPr>
        <w:t xml:space="preserve"> реализации очень невысока. Она очевидным образом нарушила бы интересы большинства имеющих влияние групп экономической и политической элиты. </w:t>
      </w:r>
      <w:r w:rsidR="00C40945">
        <w:rPr>
          <w:rFonts w:ascii="Times New Roman" w:hAnsi="Times New Roman" w:cs="Times New Roman"/>
          <w:sz w:val="24"/>
          <w:szCs w:val="24"/>
        </w:rPr>
        <w:t>Она была бы более опасной для них, чем сценарий последовательных либеральных реформ (тоже инстинктивно отвергаемый элитами).</w:t>
      </w:r>
    </w:p>
    <w:p w14:paraId="77E37251" w14:textId="08C9C8C4" w:rsidR="00234671" w:rsidRDefault="00C40945"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Так что о</w:t>
      </w:r>
      <w:r w:rsidR="00234671">
        <w:rPr>
          <w:rFonts w:ascii="Times New Roman" w:hAnsi="Times New Roman" w:cs="Times New Roman"/>
          <w:sz w:val="24"/>
          <w:szCs w:val="24"/>
        </w:rPr>
        <w:t xml:space="preserve">сновной тренд – это инерционное развитие, попытки «продлить жизнь» умирающим институтам и отказ от них </w:t>
      </w:r>
      <w:r>
        <w:rPr>
          <w:rFonts w:ascii="Times New Roman" w:hAnsi="Times New Roman" w:cs="Times New Roman"/>
          <w:sz w:val="24"/>
          <w:szCs w:val="24"/>
        </w:rPr>
        <w:t xml:space="preserve">- </w:t>
      </w:r>
      <w:r w:rsidR="00234671">
        <w:rPr>
          <w:rFonts w:ascii="Times New Roman" w:hAnsi="Times New Roman" w:cs="Times New Roman"/>
          <w:sz w:val="24"/>
          <w:szCs w:val="24"/>
        </w:rPr>
        <w:t>только вынужденный</w:t>
      </w:r>
      <w:r>
        <w:rPr>
          <w:rFonts w:ascii="Times New Roman" w:hAnsi="Times New Roman" w:cs="Times New Roman"/>
          <w:sz w:val="24"/>
          <w:szCs w:val="24"/>
        </w:rPr>
        <w:t xml:space="preserve"> непреодолимыми </w:t>
      </w:r>
      <w:r>
        <w:rPr>
          <w:rFonts w:ascii="Times New Roman" w:hAnsi="Times New Roman" w:cs="Times New Roman"/>
          <w:sz w:val="24"/>
          <w:szCs w:val="24"/>
        </w:rPr>
        <w:lastRenderedPageBreak/>
        <w:t>обстоятельствами.</w:t>
      </w:r>
      <w:r w:rsidR="00234671">
        <w:rPr>
          <w:rFonts w:ascii="Times New Roman" w:hAnsi="Times New Roman" w:cs="Times New Roman"/>
          <w:sz w:val="24"/>
          <w:szCs w:val="24"/>
        </w:rPr>
        <w:t xml:space="preserve"> </w:t>
      </w:r>
      <w:r>
        <w:rPr>
          <w:rFonts w:ascii="Times New Roman" w:hAnsi="Times New Roman" w:cs="Times New Roman"/>
          <w:sz w:val="24"/>
          <w:szCs w:val="24"/>
        </w:rPr>
        <w:t xml:space="preserve">Мы можем предсказать 10 лет стагнации или медленного роста ВВП (меньше 3% в год), в результате к концу периода нас по доходу на душу населения догонит Китай, а мы не догоним Западную Европу. Однако в итоге этих 10 лет мы </w:t>
      </w:r>
      <w:r w:rsidR="00807ED8">
        <w:rPr>
          <w:rFonts w:ascii="Times New Roman" w:hAnsi="Times New Roman" w:cs="Times New Roman"/>
          <w:sz w:val="24"/>
          <w:szCs w:val="24"/>
        </w:rPr>
        <w:t xml:space="preserve">с большой вероятностью </w:t>
      </w:r>
      <w:r>
        <w:rPr>
          <w:rFonts w:ascii="Times New Roman" w:hAnsi="Times New Roman" w:cs="Times New Roman"/>
          <w:sz w:val="24"/>
          <w:szCs w:val="24"/>
        </w:rPr>
        <w:t xml:space="preserve">получим новую структуру экономики и </w:t>
      </w:r>
      <w:r w:rsidR="00807ED8">
        <w:rPr>
          <w:rFonts w:ascii="Times New Roman" w:hAnsi="Times New Roman" w:cs="Times New Roman"/>
          <w:sz w:val="24"/>
          <w:szCs w:val="24"/>
        </w:rPr>
        <w:t>значительно более эффективные рыночные институты.</w:t>
      </w:r>
    </w:p>
    <w:p w14:paraId="319891FB" w14:textId="744EBF54" w:rsidR="0027502A" w:rsidRDefault="0027502A" w:rsidP="009310E6">
      <w:pPr>
        <w:pStyle w:val="af0"/>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Позитивный</w:t>
      </w:r>
      <w:r w:rsidR="00481A40">
        <w:rPr>
          <w:rFonts w:ascii="Times New Roman" w:hAnsi="Times New Roman" w:cs="Times New Roman"/>
          <w:sz w:val="24"/>
          <w:szCs w:val="24"/>
        </w:rPr>
        <w:t xml:space="preserve"> сценарий предполагает, что власть берет на себя политическую ответствен</w:t>
      </w:r>
      <w:r w:rsidR="00750B31">
        <w:rPr>
          <w:rFonts w:ascii="Times New Roman" w:hAnsi="Times New Roman" w:cs="Times New Roman"/>
          <w:sz w:val="24"/>
          <w:szCs w:val="24"/>
        </w:rPr>
        <w:t>н</w:t>
      </w:r>
      <w:r w:rsidR="00481A40">
        <w:rPr>
          <w:rFonts w:ascii="Times New Roman" w:hAnsi="Times New Roman" w:cs="Times New Roman"/>
          <w:sz w:val="24"/>
          <w:szCs w:val="24"/>
        </w:rPr>
        <w:t>ость за необходимые реформы</w:t>
      </w:r>
      <w:r w:rsidR="00750B31">
        <w:rPr>
          <w:rFonts w:ascii="Times New Roman" w:hAnsi="Times New Roman" w:cs="Times New Roman"/>
          <w:sz w:val="24"/>
          <w:szCs w:val="24"/>
        </w:rPr>
        <w:t>,</w:t>
      </w:r>
      <w:r w:rsidR="00481A40">
        <w:rPr>
          <w:rFonts w:ascii="Times New Roman" w:hAnsi="Times New Roman" w:cs="Times New Roman"/>
          <w:sz w:val="24"/>
          <w:szCs w:val="24"/>
        </w:rPr>
        <w:t xml:space="preserve"> и они начинают реализоваться уже после выборов 2016 года. Здесь тоже не будет чудес, но трансформация займет меньше времени – 7-8 лет – и экономический рост на новой основе может начаться раньше. </w:t>
      </w:r>
    </w:p>
    <w:p w14:paraId="3B03010A" w14:textId="77777777" w:rsidR="00C40945" w:rsidRDefault="00C40945" w:rsidP="00F62484">
      <w:pPr>
        <w:pStyle w:val="af0"/>
        <w:spacing w:line="360" w:lineRule="auto"/>
        <w:ind w:left="-284" w:firstLine="426"/>
        <w:jc w:val="both"/>
        <w:rPr>
          <w:rFonts w:ascii="Times New Roman" w:hAnsi="Times New Roman" w:cs="Times New Roman"/>
          <w:sz w:val="24"/>
          <w:szCs w:val="24"/>
        </w:rPr>
      </w:pPr>
    </w:p>
    <w:p w14:paraId="045ECEC8" w14:textId="4DF0370C" w:rsidR="00CE2F2A" w:rsidRPr="006E58F3" w:rsidRDefault="006E58F3" w:rsidP="00CE2F2A">
      <w:pPr>
        <w:spacing w:line="360" w:lineRule="auto"/>
        <w:ind w:firstLine="709"/>
        <w:jc w:val="both"/>
        <w:rPr>
          <w:rFonts w:ascii="Times New Roman" w:hAnsi="Times New Roman" w:cs="Times New Roman"/>
          <w:b/>
          <w:sz w:val="26"/>
          <w:szCs w:val="26"/>
        </w:rPr>
      </w:pPr>
      <w:r w:rsidRPr="006E58F3">
        <w:rPr>
          <w:rFonts w:ascii="Times New Roman" w:hAnsi="Times New Roman" w:cs="Times New Roman"/>
          <w:b/>
          <w:sz w:val="26"/>
          <w:szCs w:val="26"/>
        </w:rPr>
        <w:t xml:space="preserve">4.2. </w:t>
      </w:r>
      <w:r w:rsidR="00D737E1" w:rsidRPr="006E58F3">
        <w:rPr>
          <w:rFonts w:ascii="Times New Roman" w:hAnsi="Times New Roman" w:cs="Times New Roman"/>
          <w:b/>
          <w:sz w:val="26"/>
          <w:szCs w:val="26"/>
        </w:rPr>
        <w:t>Бюджетные проблемы</w:t>
      </w:r>
    </w:p>
    <w:p w14:paraId="442F88BA" w14:textId="77777777" w:rsidR="00CE2F2A" w:rsidRDefault="00CE2F2A" w:rsidP="00CE2F2A">
      <w:pPr>
        <w:spacing w:line="360" w:lineRule="auto"/>
        <w:ind w:firstLine="709"/>
        <w:jc w:val="both"/>
        <w:rPr>
          <w:rFonts w:ascii="Times New Roman" w:hAnsi="Times New Roman" w:cs="Times New Roman"/>
          <w:sz w:val="24"/>
          <w:szCs w:val="24"/>
        </w:rPr>
      </w:pPr>
      <w:r w:rsidRPr="00546E78">
        <w:rPr>
          <w:rFonts w:ascii="Times New Roman" w:hAnsi="Times New Roman" w:cs="Times New Roman"/>
          <w:sz w:val="24"/>
          <w:szCs w:val="24"/>
        </w:rPr>
        <w:t>В настоящее время сложившаяся модель «ресурсного</w:t>
      </w:r>
      <w:r>
        <w:rPr>
          <w:rFonts w:ascii="Times New Roman" w:hAnsi="Times New Roman" w:cs="Times New Roman"/>
          <w:sz w:val="24"/>
          <w:szCs w:val="24"/>
        </w:rPr>
        <w:t>»</w:t>
      </w:r>
      <w:r w:rsidRPr="00546E78">
        <w:rPr>
          <w:rFonts w:ascii="Times New Roman" w:hAnsi="Times New Roman" w:cs="Times New Roman"/>
          <w:sz w:val="24"/>
          <w:szCs w:val="24"/>
        </w:rPr>
        <w:t xml:space="preserve"> капитализма на фоне существенного ухудшения внешних условий продолжает существовать по инерции за счет использования ранее накопленных бюджетных резервов (Резервного фонда и ФНБ). </w:t>
      </w:r>
      <w:r>
        <w:rPr>
          <w:rFonts w:ascii="Times New Roman" w:hAnsi="Times New Roman" w:cs="Times New Roman"/>
          <w:sz w:val="24"/>
          <w:szCs w:val="24"/>
        </w:rPr>
        <w:t>Однако в условиях рецессии и устойчивого снижения цен на нефть, федеральный бюджет становится «узким местом». (Нужно отметить, что кризис региональных бюджетов наблюдается с 2013 года и уже привел к росту совокупного объема долга регионов до 2,7 трлн. руб. на начало 2016 года и сокращению их расходов в реальном выражении ниже уровня 2009 года).</w:t>
      </w:r>
    </w:p>
    <w:p w14:paraId="6E9D18A4" w14:textId="77777777" w:rsidR="00CE2F2A" w:rsidRDefault="00CE2F2A" w:rsidP="00CE2F2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Поскольку бюджет на 2016 год был рассчитан исходя из среднегодовой цены на нефть 50 долл. </w:t>
      </w:r>
      <w:proofErr w:type="spellStart"/>
      <w:r>
        <w:rPr>
          <w:rFonts w:ascii="Times New Roman" w:hAnsi="Times New Roman" w:cs="Times New Roman"/>
          <w:sz w:val="24"/>
          <w:szCs w:val="24"/>
        </w:rPr>
        <w:t>барр</w:t>
      </w:r>
      <w:proofErr w:type="spellEnd"/>
      <w:r>
        <w:rPr>
          <w:rFonts w:ascii="Times New Roman" w:hAnsi="Times New Roman" w:cs="Times New Roman"/>
          <w:sz w:val="24"/>
          <w:szCs w:val="24"/>
        </w:rPr>
        <w:t xml:space="preserve">., ее падение ниже этого уровня ведет к выпадению запланированных доходов. По расчетам Института «Центр развития», при среднегодовой цене нефти </w:t>
      </w:r>
      <w:r w:rsidRPr="00677B98">
        <w:rPr>
          <w:rFonts w:ascii="Times New Roman" w:hAnsi="Times New Roman" w:cs="Times New Roman"/>
          <w:sz w:val="24"/>
          <w:szCs w:val="24"/>
        </w:rPr>
        <w:t>40</w:t>
      </w:r>
      <w:r>
        <w:rPr>
          <w:rFonts w:ascii="Times New Roman" w:hAnsi="Times New Roman" w:cs="Times New Roman"/>
          <w:sz w:val="24"/>
          <w:szCs w:val="24"/>
        </w:rPr>
        <w:t xml:space="preserve"> долл./</w:t>
      </w:r>
      <w:proofErr w:type="spellStart"/>
      <w:r>
        <w:rPr>
          <w:rFonts w:ascii="Times New Roman" w:hAnsi="Times New Roman" w:cs="Times New Roman"/>
          <w:sz w:val="24"/>
          <w:szCs w:val="24"/>
        </w:rPr>
        <w:t>барр</w:t>
      </w:r>
      <w:proofErr w:type="spellEnd"/>
      <w:r>
        <w:rPr>
          <w:rFonts w:ascii="Times New Roman" w:hAnsi="Times New Roman" w:cs="Times New Roman"/>
          <w:sz w:val="24"/>
          <w:szCs w:val="24"/>
        </w:rPr>
        <w:t>. объем в</w:t>
      </w:r>
      <w:r w:rsidRPr="00677B98">
        <w:rPr>
          <w:rFonts w:ascii="Times New Roman" w:hAnsi="Times New Roman" w:cs="Times New Roman"/>
          <w:sz w:val="24"/>
          <w:szCs w:val="24"/>
        </w:rPr>
        <w:t xml:space="preserve">ыпадающих доходов </w:t>
      </w:r>
      <w:r>
        <w:rPr>
          <w:rFonts w:ascii="Times New Roman" w:hAnsi="Times New Roman" w:cs="Times New Roman"/>
          <w:sz w:val="24"/>
          <w:szCs w:val="24"/>
        </w:rPr>
        <w:t xml:space="preserve">составит </w:t>
      </w:r>
      <w:r w:rsidRPr="00677B98">
        <w:rPr>
          <w:rFonts w:ascii="Times New Roman" w:hAnsi="Times New Roman" w:cs="Times New Roman"/>
          <w:sz w:val="24"/>
          <w:szCs w:val="24"/>
        </w:rPr>
        <w:t xml:space="preserve">около </w:t>
      </w:r>
      <w:r>
        <w:rPr>
          <w:rFonts w:ascii="Times New Roman" w:hAnsi="Times New Roman" w:cs="Times New Roman"/>
          <w:sz w:val="24"/>
          <w:szCs w:val="24"/>
        </w:rPr>
        <w:t xml:space="preserve">1 </w:t>
      </w:r>
      <w:r w:rsidRPr="00677B98">
        <w:rPr>
          <w:rFonts w:ascii="Times New Roman" w:hAnsi="Times New Roman" w:cs="Times New Roman"/>
          <w:sz w:val="24"/>
          <w:szCs w:val="24"/>
        </w:rPr>
        <w:t>трлн</w:t>
      </w:r>
      <w:r>
        <w:rPr>
          <w:rFonts w:ascii="Times New Roman" w:hAnsi="Times New Roman" w:cs="Times New Roman"/>
          <w:sz w:val="24"/>
          <w:szCs w:val="24"/>
        </w:rPr>
        <w:t>.</w:t>
      </w:r>
      <w:r w:rsidRPr="00677B98">
        <w:rPr>
          <w:rFonts w:ascii="Times New Roman" w:hAnsi="Times New Roman" w:cs="Times New Roman"/>
          <w:sz w:val="24"/>
          <w:szCs w:val="24"/>
        </w:rPr>
        <w:t xml:space="preserve"> рублей. </w:t>
      </w:r>
      <w:r>
        <w:rPr>
          <w:rFonts w:ascii="Times New Roman" w:hAnsi="Times New Roman" w:cs="Times New Roman"/>
          <w:sz w:val="24"/>
          <w:szCs w:val="24"/>
        </w:rPr>
        <w:t>Дефицит, заложенный в</w:t>
      </w:r>
      <w:r w:rsidRPr="00677B98">
        <w:rPr>
          <w:rFonts w:ascii="Times New Roman" w:hAnsi="Times New Roman" w:cs="Times New Roman"/>
          <w:sz w:val="24"/>
          <w:szCs w:val="24"/>
        </w:rPr>
        <w:t xml:space="preserve"> бюджет 2016 года</w:t>
      </w:r>
      <w:r>
        <w:rPr>
          <w:rFonts w:ascii="Times New Roman" w:hAnsi="Times New Roman" w:cs="Times New Roman"/>
          <w:sz w:val="24"/>
          <w:szCs w:val="24"/>
        </w:rPr>
        <w:t>,</w:t>
      </w:r>
      <w:r w:rsidRPr="00677B98">
        <w:rPr>
          <w:rFonts w:ascii="Times New Roman" w:hAnsi="Times New Roman" w:cs="Times New Roman"/>
          <w:sz w:val="24"/>
          <w:szCs w:val="24"/>
        </w:rPr>
        <w:t xml:space="preserve"> </w:t>
      </w:r>
      <w:r>
        <w:rPr>
          <w:rFonts w:ascii="Times New Roman" w:hAnsi="Times New Roman" w:cs="Times New Roman"/>
          <w:sz w:val="24"/>
          <w:szCs w:val="24"/>
        </w:rPr>
        <w:t>составляет</w:t>
      </w:r>
      <w:r w:rsidRPr="00677B98">
        <w:rPr>
          <w:rFonts w:ascii="Times New Roman" w:hAnsi="Times New Roman" w:cs="Times New Roman"/>
          <w:sz w:val="24"/>
          <w:szCs w:val="24"/>
        </w:rPr>
        <w:t xml:space="preserve"> 2,36 трлн. руб. </w:t>
      </w:r>
      <w:r>
        <w:rPr>
          <w:rFonts w:ascii="Times New Roman" w:hAnsi="Times New Roman" w:cs="Times New Roman"/>
          <w:sz w:val="24"/>
          <w:szCs w:val="24"/>
        </w:rPr>
        <w:t xml:space="preserve">а </w:t>
      </w:r>
      <w:r w:rsidRPr="00677B98">
        <w:rPr>
          <w:rFonts w:ascii="Times New Roman" w:hAnsi="Times New Roman" w:cs="Times New Roman"/>
          <w:sz w:val="24"/>
          <w:szCs w:val="24"/>
        </w:rPr>
        <w:t>в Резервном фонде на начало 2016 года оставалось около 3,6 трлн. рублей. При одобренном секвестре расходов на 0,5 трлн. рублей и выполнении программы заимствований к концу года в Резервном фонде остается еще около триллиона рублей</w:t>
      </w:r>
      <w:r>
        <w:rPr>
          <w:rFonts w:ascii="Times New Roman" w:hAnsi="Times New Roman" w:cs="Times New Roman"/>
          <w:sz w:val="24"/>
          <w:szCs w:val="24"/>
        </w:rPr>
        <w:t>. Если потом для финансирования текущих расходов</w:t>
      </w:r>
      <w:r w:rsidRPr="00677B98">
        <w:rPr>
          <w:rFonts w:ascii="Times New Roman" w:hAnsi="Times New Roman" w:cs="Times New Roman"/>
          <w:sz w:val="24"/>
          <w:szCs w:val="24"/>
        </w:rPr>
        <w:t xml:space="preserve"> использовать Фонд национального достояния (около 4 трлн. руб., если считать ликвидные средства, пока не связанные какими-то обязательствами)</w:t>
      </w:r>
      <w:r>
        <w:rPr>
          <w:rFonts w:ascii="Times New Roman" w:hAnsi="Times New Roman" w:cs="Times New Roman"/>
          <w:sz w:val="24"/>
          <w:szCs w:val="24"/>
        </w:rPr>
        <w:t>, то</w:t>
      </w:r>
      <w:r w:rsidRPr="00677B98">
        <w:rPr>
          <w:rFonts w:ascii="Times New Roman" w:hAnsi="Times New Roman" w:cs="Times New Roman"/>
          <w:sz w:val="24"/>
          <w:szCs w:val="24"/>
        </w:rPr>
        <w:t xml:space="preserve"> их хватит на 2017 и часть 2018 года.</w:t>
      </w:r>
    </w:p>
    <w:p w14:paraId="0C0EF0F4" w14:textId="77777777" w:rsidR="00750B31" w:rsidRDefault="00750B31" w:rsidP="00CE2F2A">
      <w:pPr>
        <w:spacing w:line="360" w:lineRule="auto"/>
        <w:ind w:firstLine="567"/>
        <w:jc w:val="both"/>
        <w:rPr>
          <w:rFonts w:ascii="Times New Roman" w:hAnsi="Times New Roman" w:cs="Times New Roman"/>
          <w:sz w:val="24"/>
          <w:szCs w:val="24"/>
        </w:rPr>
      </w:pPr>
    </w:p>
    <w:p w14:paraId="343E88CC" w14:textId="77777777" w:rsidR="00750B31" w:rsidRDefault="00750B31" w:rsidP="00CE2F2A">
      <w:pPr>
        <w:spacing w:line="360" w:lineRule="auto"/>
        <w:ind w:firstLine="567"/>
        <w:jc w:val="both"/>
        <w:rPr>
          <w:rFonts w:ascii="Times New Roman" w:hAnsi="Times New Roman" w:cs="Times New Roman"/>
          <w:sz w:val="24"/>
          <w:szCs w:val="24"/>
        </w:rPr>
      </w:pPr>
    </w:p>
    <w:p w14:paraId="5E12D0E0" w14:textId="77777777" w:rsidR="00750B31" w:rsidRPr="00677B98" w:rsidRDefault="00750B31" w:rsidP="00CE2F2A">
      <w:pPr>
        <w:spacing w:line="360" w:lineRule="auto"/>
        <w:ind w:firstLine="567"/>
        <w:jc w:val="both"/>
        <w:rPr>
          <w:rFonts w:ascii="Times New Roman" w:hAnsi="Times New Roman" w:cs="Times New Roman"/>
          <w:sz w:val="24"/>
          <w:szCs w:val="24"/>
        </w:rPr>
      </w:pPr>
    </w:p>
    <w:p w14:paraId="1BC739F3" w14:textId="30FE7F28" w:rsidR="00CE2F2A" w:rsidRPr="003F5223" w:rsidRDefault="00CE2F2A" w:rsidP="003F5223">
      <w:pPr>
        <w:spacing w:after="120" w:line="360" w:lineRule="auto"/>
        <w:ind w:firstLine="709"/>
        <w:jc w:val="both"/>
        <w:rPr>
          <w:rFonts w:ascii="Times New Roman" w:hAnsi="Times New Roman" w:cs="Times New Roman"/>
          <w:b/>
        </w:rPr>
      </w:pPr>
      <w:r w:rsidRPr="003F5223">
        <w:rPr>
          <w:rFonts w:ascii="Times New Roman" w:hAnsi="Times New Roman" w:cs="Times New Roman"/>
          <w:b/>
        </w:rPr>
        <w:lastRenderedPageBreak/>
        <w:t xml:space="preserve">Таблица </w:t>
      </w:r>
      <w:r w:rsidR="006E58F3" w:rsidRPr="003F5223">
        <w:rPr>
          <w:rFonts w:ascii="Times New Roman" w:hAnsi="Times New Roman" w:cs="Times New Roman"/>
          <w:b/>
        </w:rPr>
        <w:t>4</w:t>
      </w:r>
      <w:r w:rsidRPr="003F5223">
        <w:rPr>
          <w:rFonts w:ascii="Times New Roman" w:hAnsi="Times New Roman" w:cs="Times New Roman"/>
          <w:b/>
        </w:rPr>
        <w:t>.1. Бюджетный дефицит и возможные источники финансирования дефицита в 2016 году  в млрд. руб.</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9"/>
        <w:gridCol w:w="2134"/>
        <w:gridCol w:w="2047"/>
      </w:tblGrid>
      <w:tr w:rsidR="00CE2F2A" w:rsidRPr="002C4693" w14:paraId="744ABB5C" w14:textId="77777777" w:rsidTr="003F5223">
        <w:trPr>
          <w:trHeight w:val="875"/>
        </w:trPr>
        <w:tc>
          <w:tcPr>
            <w:tcW w:w="5929" w:type="dxa"/>
            <w:shd w:val="clear" w:color="000000" w:fill="FFFFFF"/>
            <w:noWrap/>
            <w:vAlign w:val="center"/>
            <w:hideMark/>
          </w:tcPr>
          <w:p w14:paraId="4506E82F" w14:textId="77777777" w:rsidR="00CE2F2A" w:rsidRPr="0087235A" w:rsidRDefault="00CE2F2A" w:rsidP="006E58F3">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87235A">
              <w:rPr>
                <w:rFonts w:ascii="Times New Roman" w:eastAsia="Times New Roman" w:hAnsi="Times New Roman" w:cs="Times New Roman"/>
                <w:color w:val="000000"/>
                <w:sz w:val="20"/>
                <w:szCs w:val="20"/>
                <w:lang w:eastAsia="ru-RU"/>
              </w:rPr>
              <w:t> </w:t>
            </w:r>
          </w:p>
        </w:tc>
        <w:tc>
          <w:tcPr>
            <w:tcW w:w="2134" w:type="dxa"/>
            <w:shd w:val="clear" w:color="000000" w:fill="FFFFFF"/>
            <w:vAlign w:val="center"/>
            <w:hideMark/>
          </w:tcPr>
          <w:p w14:paraId="350622CD" w14:textId="77777777" w:rsidR="00CE2F2A" w:rsidRPr="0087235A" w:rsidRDefault="00CE2F2A" w:rsidP="006E58F3">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87235A">
              <w:rPr>
                <w:rFonts w:ascii="Times New Roman" w:eastAsia="Times New Roman" w:hAnsi="Times New Roman" w:cs="Times New Roman"/>
                <w:color w:val="000000"/>
                <w:sz w:val="20"/>
                <w:szCs w:val="20"/>
                <w:lang w:eastAsia="ru-RU"/>
              </w:rPr>
              <w:t>Закон</w:t>
            </w:r>
            <w:r w:rsidRPr="0087235A">
              <w:rPr>
                <w:rFonts w:ascii="Times New Roman" w:eastAsia="Times New Roman" w:hAnsi="Times New Roman" w:cs="Times New Roman"/>
                <w:color w:val="000000"/>
                <w:sz w:val="20"/>
                <w:szCs w:val="20"/>
                <w:lang w:eastAsia="ru-RU"/>
              </w:rPr>
              <w:br/>
              <w:t xml:space="preserve"> о бюджете на 2016 год</w:t>
            </w:r>
          </w:p>
        </w:tc>
        <w:tc>
          <w:tcPr>
            <w:tcW w:w="2047" w:type="dxa"/>
            <w:shd w:val="clear" w:color="000000" w:fill="FFFFFF"/>
            <w:vAlign w:val="center"/>
            <w:hideMark/>
          </w:tcPr>
          <w:p w14:paraId="4771D023" w14:textId="77777777" w:rsidR="00CE2F2A" w:rsidRPr="0087235A" w:rsidRDefault="00CE2F2A" w:rsidP="006E58F3">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87235A">
              <w:rPr>
                <w:rFonts w:ascii="Times New Roman" w:eastAsia="Times New Roman" w:hAnsi="Times New Roman" w:cs="Times New Roman"/>
                <w:color w:val="000000"/>
                <w:sz w:val="20"/>
                <w:szCs w:val="20"/>
                <w:lang w:eastAsia="ru-RU"/>
              </w:rPr>
              <w:t>Сценарий</w:t>
            </w:r>
            <w:r w:rsidRPr="0087235A">
              <w:rPr>
                <w:rFonts w:ascii="Times New Roman" w:eastAsia="Times New Roman" w:hAnsi="Times New Roman" w:cs="Times New Roman"/>
                <w:color w:val="000000"/>
                <w:sz w:val="20"/>
                <w:szCs w:val="20"/>
                <w:lang w:eastAsia="ru-RU"/>
              </w:rPr>
              <w:br/>
              <w:t xml:space="preserve"> при цене на нефть $40</w:t>
            </w:r>
          </w:p>
        </w:tc>
      </w:tr>
      <w:tr w:rsidR="00CE2F2A" w:rsidRPr="002C4693" w14:paraId="31D58002" w14:textId="77777777" w:rsidTr="003F5223">
        <w:trPr>
          <w:trHeight w:val="287"/>
        </w:trPr>
        <w:tc>
          <w:tcPr>
            <w:tcW w:w="5929" w:type="dxa"/>
            <w:shd w:val="clear" w:color="000000" w:fill="FFFFFF"/>
            <w:noWrap/>
            <w:vAlign w:val="center"/>
            <w:hideMark/>
          </w:tcPr>
          <w:p w14:paraId="7202A0CB" w14:textId="77777777" w:rsidR="00CE2F2A" w:rsidRPr="0087235A" w:rsidRDefault="00CE2F2A" w:rsidP="006E58F3">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87235A">
              <w:rPr>
                <w:rFonts w:ascii="Times New Roman" w:eastAsia="Times New Roman" w:hAnsi="Times New Roman" w:cs="Times New Roman"/>
                <w:color w:val="000000"/>
                <w:sz w:val="20"/>
                <w:szCs w:val="20"/>
                <w:lang w:eastAsia="ru-RU"/>
              </w:rPr>
              <w:t>Цена на нефть, долл. США/</w:t>
            </w:r>
            <w:proofErr w:type="spellStart"/>
            <w:r w:rsidRPr="0087235A">
              <w:rPr>
                <w:rFonts w:ascii="Times New Roman" w:eastAsia="Times New Roman" w:hAnsi="Times New Roman" w:cs="Times New Roman"/>
                <w:color w:val="000000"/>
                <w:sz w:val="20"/>
                <w:szCs w:val="20"/>
                <w:lang w:eastAsia="ru-RU"/>
              </w:rPr>
              <w:t>барр</w:t>
            </w:r>
            <w:proofErr w:type="spellEnd"/>
            <w:r w:rsidRPr="0087235A">
              <w:rPr>
                <w:rFonts w:ascii="Times New Roman" w:eastAsia="Times New Roman" w:hAnsi="Times New Roman" w:cs="Times New Roman"/>
                <w:color w:val="000000"/>
                <w:sz w:val="20"/>
                <w:szCs w:val="20"/>
                <w:lang w:eastAsia="ru-RU"/>
              </w:rPr>
              <w:t>.</w:t>
            </w:r>
          </w:p>
        </w:tc>
        <w:tc>
          <w:tcPr>
            <w:tcW w:w="2134" w:type="dxa"/>
            <w:shd w:val="clear" w:color="000000" w:fill="FFFFFF"/>
            <w:noWrap/>
            <w:vAlign w:val="center"/>
            <w:hideMark/>
          </w:tcPr>
          <w:p w14:paraId="69DF8CFF" w14:textId="77777777" w:rsidR="00CE2F2A" w:rsidRPr="0087235A" w:rsidRDefault="00CE2F2A" w:rsidP="006E58F3">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87235A">
              <w:rPr>
                <w:rFonts w:ascii="Times New Roman" w:eastAsia="Times New Roman" w:hAnsi="Times New Roman" w:cs="Times New Roman"/>
                <w:color w:val="000000"/>
                <w:sz w:val="20"/>
                <w:szCs w:val="20"/>
                <w:lang w:eastAsia="ru-RU"/>
              </w:rPr>
              <w:t>50</w:t>
            </w:r>
          </w:p>
        </w:tc>
        <w:tc>
          <w:tcPr>
            <w:tcW w:w="2047" w:type="dxa"/>
            <w:shd w:val="clear" w:color="000000" w:fill="FFFFFF"/>
            <w:noWrap/>
            <w:vAlign w:val="center"/>
            <w:hideMark/>
          </w:tcPr>
          <w:p w14:paraId="4030F937" w14:textId="77777777" w:rsidR="00CE2F2A" w:rsidRPr="0087235A" w:rsidRDefault="00CE2F2A" w:rsidP="006E58F3">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87235A">
              <w:rPr>
                <w:rFonts w:ascii="Times New Roman" w:eastAsia="Times New Roman" w:hAnsi="Times New Roman" w:cs="Times New Roman"/>
                <w:color w:val="000000"/>
                <w:sz w:val="20"/>
                <w:szCs w:val="20"/>
                <w:lang w:eastAsia="ru-RU"/>
              </w:rPr>
              <w:t>40</w:t>
            </w:r>
          </w:p>
        </w:tc>
      </w:tr>
      <w:tr w:rsidR="00CE2F2A" w:rsidRPr="002C4693" w14:paraId="0124E80D" w14:textId="77777777" w:rsidTr="003F5223">
        <w:trPr>
          <w:trHeight w:val="287"/>
        </w:trPr>
        <w:tc>
          <w:tcPr>
            <w:tcW w:w="5929" w:type="dxa"/>
            <w:shd w:val="clear" w:color="000000" w:fill="FFFFFF"/>
            <w:noWrap/>
            <w:vAlign w:val="center"/>
            <w:hideMark/>
          </w:tcPr>
          <w:p w14:paraId="669C9C13" w14:textId="77777777" w:rsidR="00CE2F2A" w:rsidRPr="0087235A" w:rsidRDefault="00CE2F2A" w:rsidP="006E58F3">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87235A">
              <w:rPr>
                <w:rFonts w:ascii="Times New Roman" w:eastAsia="Times New Roman" w:hAnsi="Times New Roman" w:cs="Times New Roman"/>
                <w:color w:val="000000"/>
                <w:sz w:val="20"/>
                <w:szCs w:val="20"/>
                <w:lang w:eastAsia="ru-RU"/>
              </w:rPr>
              <w:t>Доходы всего</w:t>
            </w:r>
          </w:p>
        </w:tc>
        <w:tc>
          <w:tcPr>
            <w:tcW w:w="2134" w:type="dxa"/>
            <w:shd w:val="clear" w:color="000000" w:fill="FFFFFF"/>
            <w:noWrap/>
            <w:vAlign w:val="center"/>
            <w:hideMark/>
          </w:tcPr>
          <w:p w14:paraId="211C6C75" w14:textId="77777777" w:rsidR="00CE2F2A" w:rsidRPr="0087235A" w:rsidRDefault="00CE2F2A" w:rsidP="006E58F3">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87235A">
              <w:rPr>
                <w:rFonts w:ascii="Times New Roman" w:eastAsia="Times New Roman" w:hAnsi="Times New Roman" w:cs="Times New Roman"/>
                <w:color w:val="000000"/>
                <w:sz w:val="20"/>
                <w:szCs w:val="20"/>
                <w:lang w:eastAsia="ru-RU"/>
              </w:rPr>
              <w:t>13 739</w:t>
            </w:r>
          </w:p>
        </w:tc>
        <w:tc>
          <w:tcPr>
            <w:tcW w:w="2047" w:type="dxa"/>
            <w:shd w:val="clear" w:color="000000" w:fill="FFFFFF"/>
            <w:noWrap/>
            <w:vAlign w:val="center"/>
            <w:hideMark/>
          </w:tcPr>
          <w:p w14:paraId="5A797907" w14:textId="77777777" w:rsidR="00CE2F2A" w:rsidRPr="0087235A" w:rsidRDefault="00CE2F2A" w:rsidP="006E58F3">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87235A">
              <w:rPr>
                <w:rFonts w:ascii="Times New Roman" w:eastAsia="Times New Roman" w:hAnsi="Times New Roman" w:cs="Times New Roman"/>
                <w:color w:val="000000"/>
                <w:sz w:val="20"/>
                <w:szCs w:val="20"/>
                <w:lang w:eastAsia="ru-RU"/>
              </w:rPr>
              <w:t>12 702</w:t>
            </w:r>
          </w:p>
        </w:tc>
      </w:tr>
      <w:tr w:rsidR="00CE2F2A" w:rsidRPr="002C4693" w14:paraId="12D8B127" w14:textId="77777777" w:rsidTr="003F5223">
        <w:trPr>
          <w:trHeight w:val="287"/>
        </w:trPr>
        <w:tc>
          <w:tcPr>
            <w:tcW w:w="5929" w:type="dxa"/>
            <w:shd w:val="clear" w:color="000000" w:fill="FFFFFF"/>
            <w:noWrap/>
            <w:vAlign w:val="center"/>
            <w:hideMark/>
          </w:tcPr>
          <w:p w14:paraId="7FE6DA6A" w14:textId="77777777" w:rsidR="00CE2F2A" w:rsidRPr="0087235A" w:rsidRDefault="00CE2F2A" w:rsidP="006E58F3">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87235A">
              <w:rPr>
                <w:rFonts w:ascii="Times New Roman" w:eastAsia="Times New Roman" w:hAnsi="Times New Roman" w:cs="Times New Roman"/>
                <w:color w:val="000000"/>
                <w:sz w:val="20"/>
                <w:szCs w:val="20"/>
                <w:lang w:eastAsia="ru-RU"/>
              </w:rPr>
              <w:t>Расходы</w:t>
            </w:r>
          </w:p>
        </w:tc>
        <w:tc>
          <w:tcPr>
            <w:tcW w:w="2134" w:type="dxa"/>
            <w:shd w:val="clear" w:color="000000" w:fill="FFFFFF"/>
            <w:noWrap/>
            <w:vAlign w:val="center"/>
            <w:hideMark/>
          </w:tcPr>
          <w:p w14:paraId="56560E57" w14:textId="77777777" w:rsidR="00CE2F2A" w:rsidRPr="0087235A" w:rsidRDefault="00CE2F2A" w:rsidP="006E58F3">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87235A">
              <w:rPr>
                <w:rFonts w:ascii="Times New Roman" w:eastAsia="Times New Roman" w:hAnsi="Times New Roman" w:cs="Times New Roman"/>
                <w:color w:val="000000"/>
                <w:sz w:val="20"/>
                <w:szCs w:val="20"/>
                <w:lang w:eastAsia="ru-RU"/>
              </w:rPr>
              <w:t>16 099</w:t>
            </w:r>
          </w:p>
        </w:tc>
        <w:tc>
          <w:tcPr>
            <w:tcW w:w="2047" w:type="dxa"/>
            <w:shd w:val="clear" w:color="000000" w:fill="FFFFFF"/>
            <w:noWrap/>
            <w:vAlign w:val="center"/>
            <w:hideMark/>
          </w:tcPr>
          <w:p w14:paraId="3E711252" w14:textId="77777777" w:rsidR="00CE2F2A" w:rsidRPr="0087235A" w:rsidRDefault="00CE2F2A" w:rsidP="006E58F3">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87235A">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5</w:t>
            </w:r>
            <w:r w:rsidRPr="0087235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5</w:t>
            </w:r>
            <w:r w:rsidRPr="0087235A">
              <w:rPr>
                <w:rFonts w:ascii="Times New Roman" w:eastAsia="Times New Roman" w:hAnsi="Times New Roman" w:cs="Times New Roman"/>
                <w:color w:val="000000"/>
                <w:sz w:val="20"/>
                <w:szCs w:val="20"/>
                <w:lang w:eastAsia="ru-RU"/>
              </w:rPr>
              <w:t>99</w:t>
            </w:r>
          </w:p>
        </w:tc>
      </w:tr>
      <w:tr w:rsidR="00CE2F2A" w:rsidRPr="002C4693" w14:paraId="053D607C" w14:textId="77777777" w:rsidTr="003F5223">
        <w:trPr>
          <w:trHeight w:val="287"/>
        </w:trPr>
        <w:tc>
          <w:tcPr>
            <w:tcW w:w="5929" w:type="dxa"/>
            <w:shd w:val="clear" w:color="000000" w:fill="FFFFFF"/>
            <w:noWrap/>
            <w:vAlign w:val="center"/>
            <w:hideMark/>
          </w:tcPr>
          <w:p w14:paraId="1E10E516" w14:textId="77777777" w:rsidR="00CE2F2A" w:rsidRPr="0087235A" w:rsidRDefault="00CE2F2A" w:rsidP="006E58F3">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87235A">
              <w:rPr>
                <w:rFonts w:ascii="Times New Roman" w:eastAsia="Times New Roman" w:hAnsi="Times New Roman" w:cs="Times New Roman"/>
                <w:color w:val="000000"/>
                <w:sz w:val="20"/>
                <w:szCs w:val="20"/>
                <w:lang w:eastAsia="ru-RU"/>
              </w:rPr>
              <w:t xml:space="preserve">Дефицит </w:t>
            </w:r>
          </w:p>
        </w:tc>
        <w:tc>
          <w:tcPr>
            <w:tcW w:w="2134" w:type="dxa"/>
            <w:shd w:val="clear" w:color="000000" w:fill="FFFFFF"/>
            <w:noWrap/>
            <w:vAlign w:val="center"/>
            <w:hideMark/>
          </w:tcPr>
          <w:p w14:paraId="09312E26" w14:textId="77777777" w:rsidR="00CE2F2A" w:rsidRPr="0087235A" w:rsidRDefault="00CE2F2A" w:rsidP="006E58F3">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87235A">
              <w:rPr>
                <w:rFonts w:ascii="Times New Roman" w:eastAsia="Times New Roman" w:hAnsi="Times New Roman" w:cs="Times New Roman"/>
                <w:color w:val="000000"/>
                <w:sz w:val="20"/>
                <w:szCs w:val="20"/>
                <w:lang w:eastAsia="ru-RU"/>
              </w:rPr>
              <w:t>2 360</w:t>
            </w:r>
          </w:p>
        </w:tc>
        <w:tc>
          <w:tcPr>
            <w:tcW w:w="2047" w:type="dxa"/>
            <w:shd w:val="clear" w:color="000000" w:fill="FFFFFF"/>
            <w:noWrap/>
            <w:vAlign w:val="center"/>
            <w:hideMark/>
          </w:tcPr>
          <w:p w14:paraId="3EC42146" w14:textId="77777777" w:rsidR="00CE2F2A" w:rsidRPr="0087235A" w:rsidRDefault="00CE2F2A" w:rsidP="006E58F3">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87235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8</w:t>
            </w:r>
            <w:r w:rsidRPr="0087235A">
              <w:rPr>
                <w:rFonts w:ascii="Times New Roman" w:eastAsia="Times New Roman" w:hAnsi="Times New Roman" w:cs="Times New Roman"/>
                <w:color w:val="000000"/>
                <w:sz w:val="20"/>
                <w:szCs w:val="20"/>
                <w:lang w:eastAsia="ru-RU"/>
              </w:rPr>
              <w:t>97</w:t>
            </w:r>
          </w:p>
        </w:tc>
      </w:tr>
      <w:tr w:rsidR="00CE2F2A" w:rsidRPr="002C4693" w14:paraId="6FD6FF2C" w14:textId="77777777" w:rsidTr="003F5223">
        <w:trPr>
          <w:trHeight w:val="287"/>
        </w:trPr>
        <w:tc>
          <w:tcPr>
            <w:tcW w:w="5929" w:type="dxa"/>
            <w:shd w:val="clear" w:color="000000" w:fill="FFFFFF"/>
            <w:noWrap/>
            <w:vAlign w:val="center"/>
            <w:hideMark/>
          </w:tcPr>
          <w:p w14:paraId="1EAB37A9" w14:textId="77777777" w:rsidR="00CE2F2A" w:rsidRPr="0087235A" w:rsidRDefault="00CE2F2A" w:rsidP="006E58F3">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87235A">
              <w:rPr>
                <w:rFonts w:ascii="Times New Roman" w:eastAsia="Times New Roman" w:hAnsi="Times New Roman" w:cs="Times New Roman"/>
                <w:color w:val="000000"/>
                <w:sz w:val="20"/>
                <w:szCs w:val="20"/>
                <w:lang w:eastAsia="ru-RU"/>
              </w:rPr>
              <w:t xml:space="preserve">Дефицит в % к ВВП </w:t>
            </w:r>
          </w:p>
        </w:tc>
        <w:tc>
          <w:tcPr>
            <w:tcW w:w="2134" w:type="dxa"/>
            <w:shd w:val="clear" w:color="000000" w:fill="FFFFFF"/>
            <w:noWrap/>
            <w:vAlign w:val="center"/>
            <w:hideMark/>
          </w:tcPr>
          <w:p w14:paraId="2983143B" w14:textId="77777777" w:rsidR="00CE2F2A" w:rsidRPr="0087235A" w:rsidRDefault="00CE2F2A" w:rsidP="006E58F3">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87235A">
              <w:rPr>
                <w:rFonts w:ascii="Times New Roman" w:eastAsia="Times New Roman" w:hAnsi="Times New Roman" w:cs="Times New Roman"/>
                <w:color w:val="000000"/>
                <w:sz w:val="20"/>
                <w:szCs w:val="20"/>
                <w:lang w:eastAsia="ru-RU"/>
              </w:rPr>
              <w:t>3,0</w:t>
            </w:r>
          </w:p>
        </w:tc>
        <w:tc>
          <w:tcPr>
            <w:tcW w:w="2047" w:type="dxa"/>
            <w:shd w:val="clear" w:color="000000" w:fill="FFFFFF"/>
            <w:noWrap/>
            <w:vAlign w:val="center"/>
            <w:hideMark/>
          </w:tcPr>
          <w:p w14:paraId="24ABDA00" w14:textId="77777777" w:rsidR="00CE2F2A" w:rsidRPr="0087235A" w:rsidRDefault="00CE2F2A" w:rsidP="006E58F3">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r>
      <w:tr w:rsidR="00CE2F2A" w:rsidRPr="002C4693" w14:paraId="1120B6C2" w14:textId="77777777" w:rsidTr="003F5223">
        <w:trPr>
          <w:trHeight w:val="618"/>
        </w:trPr>
        <w:tc>
          <w:tcPr>
            <w:tcW w:w="5929" w:type="dxa"/>
            <w:shd w:val="clear" w:color="auto" w:fill="FFFFFF" w:themeFill="background1"/>
            <w:vAlign w:val="center"/>
            <w:hideMark/>
          </w:tcPr>
          <w:p w14:paraId="26083EA3" w14:textId="77777777" w:rsidR="00CE2F2A" w:rsidRPr="0087235A" w:rsidRDefault="00CE2F2A" w:rsidP="006E58F3">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87235A">
              <w:rPr>
                <w:rFonts w:ascii="Times New Roman" w:eastAsia="Times New Roman" w:hAnsi="Times New Roman" w:cs="Times New Roman"/>
                <w:color w:val="000000"/>
                <w:sz w:val="20"/>
                <w:szCs w:val="20"/>
                <w:lang w:eastAsia="ru-RU"/>
              </w:rPr>
              <w:t>Потребность в финансировании бюджетного дефицита за счет суверенных фондов</w:t>
            </w:r>
          </w:p>
        </w:tc>
        <w:tc>
          <w:tcPr>
            <w:tcW w:w="2134" w:type="dxa"/>
            <w:shd w:val="clear" w:color="auto" w:fill="FFFFFF" w:themeFill="background1"/>
            <w:noWrap/>
            <w:vAlign w:val="center"/>
            <w:hideMark/>
          </w:tcPr>
          <w:p w14:paraId="2557AC3D" w14:textId="77777777" w:rsidR="00CE2F2A" w:rsidRPr="0087235A" w:rsidRDefault="00CE2F2A" w:rsidP="006E58F3">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87235A">
              <w:rPr>
                <w:rFonts w:ascii="Times New Roman" w:eastAsia="Times New Roman" w:hAnsi="Times New Roman" w:cs="Times New Roman"/>
                <w:color w:val="000000"/>
                <w:sz w:val="20"/>
                <w:szCs w:val="20"/>
                <w:lang w:eastAsia="ru-RU"/>
              </w:rPr>
              <w:t>2 137</w:t>
            </w:r>
          </w:p>
        </w:tc>
        <w:tc>
          <w:tcPr>
            <w:tcW w:w="2047" w:type="dxa"/>
            <w:shd w:val="clear" w:color="auto" w:fill="FFFFFF" w:themeFill="background1"/>
            <w:noWrap/>
            <w:vAlign w:val="center"/>
            <w:hideMark/>
          </w:tcPr>
          <w:p w14:paraId="2F775C67" w14:textId="77777777" w:rsidR="00CE2F2A" w:rsidRPr="0087235A" w:rsidRDefault="00CE2F2A" w:rsidP="006E58F3">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87235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6</w:t>
            </w:r>
            <w:r w:rsidRPr="0087235A">
              <w:rPr>
                <w:rFonts w:ascii="Times New Roman" w:eastAsia="Times New Roman" w:hAnsi="Times New Roman" w:cs="Times New Roman"/>
                <w:color w:val="000000"/>
                <w:sz w:val="20"/>
                <w:szCs w:val="20"/>
                <w:lang w:eastAsia="ru-RU"/>
              </w:rPr>
              <w:t>74</w:t>
            </w:r>
          </w:p>
        </w:tc>
      </w:tr>
    </w:tbl>
    <w:p w14:paraId="2F0FF410" w14:textId="77777777" w:rsidR="00CE2F2A" w:rsidRPr="006E58F3" w:rsidRDefault="00CE2F2A" w:rsidP="006E58F3">
      <w:pPr>
        <w:shd w:val="clear" w:color="auto" w:fill="FFFFFF" w:themeFill="background1"/>
        <w:spacing w:line="360" w:lineRule="auto"/>
        <w:jc w:val="both"/>
        <w:rPr>
          <w:rFonts w:ascii="Times New Roman" w:hAnsi="Times New Roman" w:cs="Times New Roman"/>
          <w:i/>
          <w:sz w:val="24"/>
          <w:szCs w:val="24"/>
        </w:rPr>
      </w:pPr>
      <w:r w:rsidRPr="006E58F3">
        <w:rPr>
          <w:rFonts w:ascii="Times New Roman" w:hAnsi="Times New Roman" w:cs="Times New Roman"/>
          <w:i/>
          <w:sz w:val="24"/>
          <w:szCs w:val="24"/>
        </w:rPr>
        <w:t>Источник: Минфин РФ, расчёты Института «Центр развития» НИУ ВШЭ.</w:t>
      </w:r>
    </w:p>
    <w:p w14:paraId="3FB12574" w14:textId="566FF935" w:rsidR="006C3480" w:rsidRDefault="00CE2F2A" w:rsidP="00D737E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мы наблюдаем </w:t>
      </w:r>
      <w:r w:rsidRPr="00362E2E">
        <w:rPr>
          <w:rFonts w:ascii="Times New Roman" w:hAnsi="Times New Roman" w:cs="Times New Roman"/>
          <w:sz w:val="24"/>
          <w:szCs w:val="24"/>
        </w:rPr>
        <w:t xml:space="preserve">массовое желание представителей как элитных, так и </w:t>
      </w:r>
      <w:proofErr w:type="spellStart"/>
      <w:r w:rsidRPr="00362E2E">
        <w:rPr>
          <w:rFonts w:ascii="Times New Roman" w:hAnsi="Times New Roman" w:cs="Times New Roman"/>
          <w:sz w:val="24"/>
          <w:szCs w:val="24"/>
        </w:rPr>
        <w:t>неэлитных</w:t>
      </w:r>
      <w:proofErr w:type="spellEnd"/>
      <w:r w:rsidRPr="00362E2E">
        <w:rPr>
          <w:rFonts w:ascii="Times New Roman" w:hAnsi="Times New Roman" w:cs="Times New Roman"/>
          <w:sz w:val="24"/>
          <w:szCs w:val="24"/>
        </w:rPr>
        <w:t xml:space="preserve"> групп каким-то образом удержаться в рамках привычной модели</w:t>
      </w:r>
      <w:r w:rsidR="00D737E1">
        <w:rPr>
          <w:rFonts w:ascii="Times New Roman" w:hAnsi="Times New Roman" w:cs="Times New Roman"/>
          <w:sz w:val="24"/>
          <w:szCs w:val="24"/>
        </w:rPr>
        <w:t xml:space="preserve">. </w:t>
      </w:r>
      <w:r>
        <w:rPr>
          <w:rFonts w:ascii="Times New Roman" w:hAnsi="Times New Roman" w:cs="Times New Roman"/>
          <w:sz w:val="24"/>
          <w:szCs w:val="24"/>
        </w:rPr>
        <w:t xml:space="preserve">В краткосрочном периоде </w:t>
      </w:r>
      <w:r w:rsidR="00420395">
        <w:rPr>
          <w:rFonts w:ascii="Times New Roman" w:hAnsi="Times New Roman" w:cs="Times New Roman"/>
          <w:sz w:val="24"/>
          <w:szCs w:val="24"/>
        </w:rPr>
        <w:t xml:space="preserve">это </w:t>
      </w:r>
      <w:r w:rsidRPr="00546E78">
        <w:rPr>
          <w:rFonts w:ascii="Times New Roman" w:hAnsi="Times New Roman" w:cs="Times New Roman"/>
          <w:sz w:val="24"/>
          <w:szCs w:val="24"/>
        </w:rPr>
        <w:t>вед</w:t>
      </w:r>
      <w:r w:rsidR="00D737E1">
        <w:rPr>
          <w:rFonts w:ascii="Times New Roman" w:hAnsi="Times New Roman" w:cs="Times New Roman"/>
          <w:sz w:val="24"/>
          <w:szCs w:val="24"/>
        </w:rPr>
        <w:t>е</w:t>
      </w:r>
      <w:r w:rsidRPr="00546E78">
        <w:rPr>
          <w:rFonts w:ascii="Times New Roman" w:hAnsi="Times New Roman" w:cs="Times New Roman"/>
          <w:sz w:val="24"/>
          <w:szCs w:val="24"/>
        </w:rPr>
        <w:t xml:space="preserve">т к обострению борьбы за доступ к бюджетным </w:t>
      </w:r>
      <w:r w:rsidR="00420395">
        <w:rPr>
          <w:rFonts w:ascii="Times New Roman" w:hAnsi="Times New Roman" w:cs="Times New Roman"/>
          <w:sz w:val="24"/>
          <w:szCs w:val="24"/>
        </w:rPr>
        <w:t>ресурсам</w:t>
      </w:r>
      <w:r w:rsidRPr="00546E78">
        <w:rPr>
          <w:rFonts w:ascii="Times New Roman" w:hAnsi="Times New Roman" w:cs="Times New Roman"/>
          <w:sz w:val="24"/>
          <w:szCs w:val="24"/>
        </w:rPr>
        <w:t xml:space="preserve"> м</w:t>
      </w:r>
      <w:r w:rsidR="00D737E1">
        <w:rPr>
          <w:rFonts w:ascii="Times New Roman" w:hAnsi="Times New Roman" w:cs="Times New Roman"/>
          <w:sz w:val="24"/>
          <w:szCs w:val="24"/>
        </w:rPr>
        <w:t xml:space="preserve">ежду представителями разных секторов, </w:t>
      </w:r>
      <w:r w:rsidRPr="00546E78">
        <w:rPr>
          <w:rFonts w:ascii="Times New Roman" w:hAnsi="Times New Roman" w:cs="Times New Roman"/>
          <w:sz w:val="24"/>
          <w:szCs w:val="24"/>
        </w:rPr>
        <w:t xml:space="preserve"> с </w:t>
      </w:r>
      <w:r>
        <w:rPr>
          <w:rFonts w:ascii="Times New Roman" w:hAnsi="Times New Roman" w:cs="Times New Roman"/>
          <w:sz w:val="24"/>
          <w:szCs w:val="24"/>
        </w:rPr>
        <w:t xml:space="preserve">привлечением </w:t>
      </w:r>
      <w:r w:rsidR="00D737E1">
        <w:rPr>
          <w:rFonts w:ascii="Times New Roman" w:hAnsi="Times New Roman" w:cs="Times New Roman"/>
          <w:sz w:val="24"/>
          <w:szCs w:val="24"/>
        </w:rPr>
        <w:t>представляющих их интересы</w:t>
      </w:r>
      <w:r w:rsidRPr="00546E78">
        <w:rPr>
          <w:rFonts w:ascii="Times New Roman" w:hAnsi="Times New Roman" w:cs="Times New Roman"/>
          <w:sz w:val="24"/>
          <w:szCs w:val="24"/>
        </w:rPr>
        <w:t xml:space="preserve"> чиновников. </w:t>
      </w:r>
      <w:r w:rsidR="00420395">
        <w:rPr>
          <w:rFonts w:ascii="Times New Roman" w:hAnsi="Times New Roman" w:cs="Times New Roman"/>
          <w:sz w:val="24"/>
          <w:szCs w:val="24"/>
        </w:rPr>
        <w:t xml:space="preserve">Социальный сектор пока проигрывает, как следствие </w:t>
      </w:r>
      <w:r w:rsidR="00420395" w:rsidRPr="009310E6">
        <w:rPr>
          <w:rFonts w:ascii="Times New Roman" w:hAnsi="Times New Roman" w:cs="Times New Roman"/>
          <w:b/>
          <w:sz w:val="24"/>
          <w:szCs w:val="24"/>
        </w:rPr>
        <w:t>основная тяжесть перехода легла на население</w:t>
      </w:r>
      <w:r w:rsidR="0016508D">
        <w:rPr>
          <w:rFonts w:ascii="Times New Roman" w:hAnsi="Times New Roman" w:cs="Times New Roman"/>
          <w:sz w:val="24"/>
          <w:szCs w:val="24"/>
        </w:rPr>
        <w:t>.</w:t>
      </w:r>
    </w:p>
    <w:p w14:paraId="3985A0A0" w14:textId="58E1DACC" w:rsidR="0016508D" w:rsidRPr="003F5223" w:rsidRDefault="006A1F20" w:rsidP="003F5223">
      <w:pPr>
        <w:spacing w:after="120" w:line="360" w:lineRule="auto"/>
        <w:ind w:firstLine="709"/>
        <w:jc w:val="both"/>
        <w:rPr>
          <w:rFonts w:ascii="Times New Roman" w:hAnsi="Times New Roman" w:cs="Times New Roman"/>
          <w:b/>
        </w:rPr>
      </w:pPr>
      <w:r w:rsidRPr="003F5223">
        <w:rPr>
          <w:rFonts w:ascii="Times New Roman" w:hAnsi="Times New Roman" w:cs="Times New Roman"/>
          <w:b/>
        </w:rPr>
        <w:t xml:space="preserve">Таблица 4.2. </w:t>
      </w:r>
      <w:r w:rsidR="0016508D" w:rsidRPr="003F5223">
        <w:rPr>
          <w:rFonts w:ascii="Times New Roman" w:hAnsi="Times New Roman" w:cs="Times New Roman"/>
          <w:b/>
        </w:rPr>
        <w:t>Сравнение последствий кризисов 2008-2009 и 2014-2015 гг.</w:t>
      </w:r>
    </w:p>
    <w:tbl>
      <w:tblPr>
        <w:tblW w:w="9927" w:type="dxa"/>
        <w:tblInd w:w="93" w:type="dxa"/>
        <w:tblLook w:val="04A0" w:firstRow="1" w:lastRow="0" w:firstColumn="1" w:lastColumn="0" w:noHBand="0" w:noVBand="1"/>
      </w:tblPr>
      <w:tblGrid>
        <w:gridCol w:w="6509"/>
        <w:gridCol w:w="932"/>
        <w:gridCol w:w="932"/>
        <w:gridCol w:w="1554"/>
      </w:tblGrid>
      <w:tr w:rsidR="0016508D" w:rsidRPr="0016508D" w14:paraId="393C0169" w14:textId="77777777" w:rsidTr="0016508D">
        <w:trPr>
          <w:trHeight w:val="298"/>
        </w:trPr>
        <w:tc>
          <w:tcPr>
            <w:tcW w:w="6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058E5" w14:textId="77777777" w:rsidR="0016508D" w:rsidRPr="0016508D" w:rsidRDefault="0016508D" w:rsidP="0016508D">
            <w:pPr>
              <w:spacing w:after="0" w:line="240" w:lineRule="auto"/>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 </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48DF19AA" w14:textId="77777777" w:rsidR="0016508D" w:rsidRPr="0016508D" w:rsidRDefault="0016508D" w:rsidP="0016508D">
            <w:pPr>
              <w:spacing w:after="0" w:line="240" w:lineRule="auto"/>
              <w:jc w:val="right"/>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2009 г.</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31E86BBF" w14:textId="77777777" w:rsidR="0016508D" w:rsidRPr="0016508D" w:rsidRDefault="0016508D" w:rsidP="0016508D">
            <w:pPr>
              <w:spacing w:after="0" w:line="240" w:lineRule="auto"/>
              <w:jc w:val="right"/>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2015 г.</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3C7A41D3" w14:textId="77777777" w:rsidR="0016508D" w:rsidRPr="0016508D" w:rsidRDefault="0016508D" w:rsidP="0016508D">
            <w:pPr>
              <w:spacing w:after="0" w:line="240" w:lineRule="auto"/>
              <w:jc w:val="right"/>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 xml:space="preserve">Разность, </w:t>
            </w:r>
            <w:proofErr w:type="spellStart"/>
            <w:r w:rsidRPr="0016508D">
              <w:rPr>
                <w:rFonts w:ascii="Times New Roman" w:eastAsia="Times New Roman" w:hAnsi="Times New Roman" w:cs="Times New Roman"/>
                <w:color w:val="000000"/>
                <w:sz w:val="24"/>
                <w:szCs w:val="24"/>
                <w:lang w:eastAsia="ru-RU"/>
              </w:rPr>
              <w:t>п.п</w:t>
            </w:r>
            <w:proofErr w:type="spellEnd"/>
            <w:r w:rsidRPr="0016508D">
              <w:rPr>
                <w:rFonts w:ascii="Times New Roman" w:eastAsia="Times New Roman" w:hAnsi="Times New Roman" w:cs="Times New Roman"/>
                <w:color w:val="000000"/>
                <w:sz w:val="24"/>
                <w:szCs w:val="24"/>
                <w:lang w:eastAsia="ru-RU"/>
              </w:rPr>
              <w:t>.</w:t>
            </w:r>
          </w:p>
        </w:tc>
      </w:tr>
      <w:tr w:rsidR="0016508D" w:rsidRPr="0016508D" w14:paraId="485A57BA" w14:textId="77777777" w:rsidTr="0016508D">
        <w:trPr>
          <w:trHeight w:val="250"/>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14:paraId="4E0EF71B" w14:textId="77777777" w:rsidR="0016508D" w:rsidRPr="0016508D" w:rsidRDefault="0016508D" w:rsidP="0016508D">
            <w:pPr>
              <w:spacing w:after="0" w:line="240" w:lineRule="auto"/>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 xml:space="preserve">Рентабельность продаж (изменение за год, </w:t>
            </w:r>
            <w:proofErr w:type="spellStart"/>
            <w:r w:rsidRPr="0016508D">
              <w:rPr>
                <w:rFonts w:ascii="Times New Roman" w:eastAsia="Times New Roman" w:hAnsi="Times New Roman" w:cs="Times New Roman"/>
                <w:color w:val="000000"/>
                <w:sz w:val="24"/>
                <w:szCs w:val="24"/>
                <w:lang w:eastAsia="ru-RU"/>
              </w:rPr>
              <w:t>п.п</w:t>
            </w:r>
            <w:proofErr w:type="spellEnd"/>
            <w:r w:rsidRPr="0016508D">
              <w:rPr>
                <w:rFonts w:ascii="Times New Roman" w:eastAsia="Times New Roman" w:hAnsi="Times New Roman" w:cs="Times New Roman"/>
                <w:color w:val="000000"/>
                <w:sz w:val="24"/>
                <w:szCs w:val="24"/>
                <w:lang w:eastAsia="ru-RU"/>
              </w:rPr>
              <w:t>.)</w:t>
            </w:r>
          </w:p>
        </w:tc>
        <w:tc>
          <w:tcPr>
            <w:tcW w:w="932" w:type="dxa"/>
            <w:tcBorders>
              <w:top w:val="nil"/>
              <w:left w:val="nil"/>
              <w:bottom w:val="single" w:sz="4" w:space="0" w:color="auto"/>
              <w:right w:val="single" w:sz="4" w:space="0" w:color="auto"/>
            </w:tcBorders>
            <w:shd w:val="clear" w:color="auto" w:fill="auto"/>
            <w:noWrap/>
            <w:vAlign w:val="center"/>
            <w:hideMark/>
          </w:tcPr>
          <w:p w14:paraId="2F2A981B" w14:textId="77777777" w:rsidR="0016508D" w:rsidRPr="0016508D" w:rsidRDefault="0016508D" w:rsidP="0016508D">
            <w:pPr>
              <w:spacing w:after="0" w:line="240" w:lineRule="auto"/>
              <w:jc w:val="right"/>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-2,0</w:t>
            </w:r>
          </w:p>
        </w:tc>
        <w:tc>
          <w:tcPr>
            <w:tcW w:w="932" w:type="dxa"/>
            <w:tcBorders>
              <w:top w:val="nil"/>
              <w:left w:val="nil"/>
              <w:bottom w:val="single" w:sz="4" w:space="0" w:color="auto"/>
              <w:right w:val="single" w:sz="4" w:space="0" w:color="auto"/>
            </w:tcBorders>
            <w:shd w:val="clear" w:color="auto" w:fill="auto"/>
            <w:noWrap/>
            <w:vAlign w:val="center"/>
            <w:hideMark/>
          </w:tcPr>
          <w:p w14:paraId="101A20B9" w14:textId="77777777" w:rsidR="0016508D" w:rsidRPr="0016508D" w:rsidRDefault="0016508D" w:rsidP="0016508D">
            <w:pPr>
              <w:spacing w:after="0" w:line="240" w:lineRule="auto"/>
              <w:jc w:val="right"/>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0,6</w:t>
            </w:r>
          </w:p>
        </w:tc>
        <w:tc>
          <w:tcPr>
            <w:tcW w:w="1554" w:type="dxa"/>
            <w:tcBorders>
              <w:top w:val="nil"/>
              <w:left w:val="nil"/>
              <w:bottom w:val="single" w:sz="4" w:space="0" w:color="auto"/>
              <w:right w:val="single" w:sz="4" w:space="0" w:color="auto"/>
            </w:tcBorders>
            <w:shd w:val="clear" w:color="auto" w:fill="auto"/>
            <w:noWrap/>
            <w:vAlign w:val="center"/>
            <w:hideMark/>
          </w:tcPr>
          <w:p w14:paraId="556615AC" w14:textId="77777777" w:rsidR="0016508D" w:rsidRPr="0016508D" w:rsidRDefault="0016508D" w:rsidP="0016508D">
            <w:pPr>
              <w:spacing w:after="0" w:line="240" w:lineRule="auto"/>
              <w:jc w:val="right"/>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2,6</w:t>
            </w:r>
          </w:p>
        </w:tc>
      </w:tr>
      <w:tr w:rsidR="0016508D" w:rsidRPr="0016508D" w14:paraId="29C067BE" w14:textId="77777777" w:rsidTr="0016508D">
        <w:trPr>
          <w:trHeight w:val="250"/>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14:paraId="4CE45828" w14:textId="01143C99" w:rsidR="0016508D" w:rsidRPr="0016508D" w:rsidRDefault="0016508D" w:rsidP="0016508D">
            <w:pPr>
              <w:spacing w:after="0" w:line="240" w:lineRule="auto"/>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 xml:space="preserve">Реальная средняя зарплата </w:t>
            </w:r>
            <w:r>
              <w:rPr>
                <w:rFonts w:ascii="Times New Roman" w:eastAsia="Times New Roman" w:hAnsi="Times New Roman" w:cs="Times New Roman"/>
                <w:color w:val="000000"/>
                <w:sz w:val="24"/>
                <w:szCs w:val="24"/>
                <w:lang w:eastAsia="ru-RU"/>
              </w:rPr>
              <w:t>в экономике</w:t>
            </w:r>
            <w:r w:rsidRPr="0016508D">
              <w:rPr>
                <w:rFonts w:ascii="Times New Roman" w:eastAsia="Times New Roman" w:hAnsi="Times New Roman" w:cs="Times New Roman"/>
                <w:color w:val="000000"/>
                <w:sz w:val="24"/>
                <w:szCs w:val="24"/>
                <w:lang w:eastAsia="ru-RU"/>
              </w:rPr>
              <w:t xml:space="preserve"> (прирост, %)</w:t>
            </w:r>
          </w:p>
        </w:tc>
        <w:tc>
          <w:tcPr>
            <w:tcW w:w="932" w:type="dxa"/>
            <w:tcBorders>
              <w:top w:val="nil"/>
              <w:left w:val="nil"/>
              <w:bottom w:val="single" w:sz="4" w:space="0" w:color="auto"/>
              <w:right w:val="single" w:sz="4" w:space="0" w:color="auto"/>
            </w:tcBorders>
            <w:shd w:val="clear" w:color="auto" w:fill="auto"/>
            <w:noWrap/>
            <w:vAlign w:val="center"/>
            <w:hideMark/>
          </w:tcPr>
          <w:p w14:paraId="6F16CB59" w14:textId="77777777" w:rsidR="0016508D" w:rsidRPr="0016508D" w:rsidRDefault="0016508D" w:rsidP="0016508D">
            <w:pPr>
              <w:spacing w:after="0" w:line="240" w:lineRule="auto"/>
              <w:jc w:val="right"/>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-3,5</w:t>
            </w:r>
          </w:p>
        </w:tc>
        <w:tc>
          <w:tcPr>
            <w:tcW w:w="932" w:type="dxa"/>
            <w:tcBorders>
              <w:top w:val="nil"/>
              <w:left w:val="nil"/>
              <w:bottom w:val="single" w:sz="4" w:space="0" w:color="auto"/>
              <w:right w:val="single" w:sz="4" w:space="0" w:color="auto"/>
            </w:tcBorders>
            <w:shd w:val="clear" w:color="auto" w:fill="auto"/>
            <w:noWrap/>
            <w:vAlign w:val="center"/>
            <w:hideMark/>
          </w:tcPr>
          <w:p w14:paraId="588406D9" w14:textId="77777777" w:rsidR="0016508D" w:rsidRPr="0016508D" w:rsidRDefault="0016508D" w:rsidP="0016508D">
            <w:pPr>
              <w:spacing w:after="0" w:line="240" w:lineRule="auto"/>
              <w:jc w:val="right"/>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-9,5</w:t>
            </w:r>
          </w:p>
        </w:tc>
        <w:tc>
          <w:tcPr>
            <w:tcW w:w="1554" w:type="dxa"/>
            <w:tcBorders>
              <w:top w:val="nil"/>
              <w:left w:val="nil"/>
              <w:bottom w:val="single" w:sz="4" w:space="0" w:color="auto"/>
              <w:right w:val="single" w:sz="4" w:space="0" w:color="auto"/>
            </w:tcBorders>
            <w:shd w:val="clear" w:color="auto" w:fill="auto"/>
            <w:noWrap/>
            <w:vAlign w:val="center"/>
            <w:hideMark/>
          </w:tcPr>
          <w:p w14:paraId="5C0793DD" w14:textId="77777777" w:rsidR="0016508D" w:rsidRPr="0016508D" w:rsidRDefault="0016508D" w:rsidP="0016508D">
            <w:pPr>
              <w:spacing w:after="0" w:line="240" w:lineRule="auto"/>
              <w:jc w:val="right"/>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-6,0</w:t>
            </w:r>
          </w:p>
        </w:tc>
      </w:tr>
      <w:tr w:rsidR="0016508D" w:rsidRPr="0016508D" w14:paraId="17FF93E0" w14:textId="77777777" w:rsidTr="0016508D">
        <w:trPr>
          <w:trHeight w:val="250"/>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14:paraId="5558B16C" w14:textId="77777777" w:rsidR="0016508D" w:rsidRPr="0016508D" w:rsidRDefault="0016508D" w:rsidP="0016508D">
            <w:pPr>
              <w:spacing w:after="0" w:line="240" w:lineRule="auto"/>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ВВП в реальном выражении (прирост, %)</w:t>
            </w:r>
          </w:p>
        </w:tc>
        <w:tc>
          <w:tcPr>
            <w:tcW w:w="932" w:type="dxa"/>
            <w:tcBorders>
              <w:top w:val="nil"/>
              <w:left w:val="nil"/>
              <w:bottom w:val="single" w:sz="4" w:space="0" w:color="auto"/>
              <w:right w:val="single" w:sz="4" w:space="0" w:color="auto"/>
            </w:tcBorders>
            <w:shd w:val="clear" w:color="auto" w:fill="auto"/>
            <w:noWrap/>
            <w:vAlign w:val="center"/>
            <w:hideMark/>
          </w:tcPr>
          <w:p w14:paraId="469B6E6D" w14:textId="77777777" w:rsidR="0016508D" w:rsidRPr="0016508D" w:rsidRDefault="0016508D" w:rsidP="0016508D">
            <w:pPr>
              <w:spacing w:after="0" w:line="240" w:lineRule="auto"/>
              <w:jc w:val="right"/>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-7,8</w:t>
            </w:r>
          </w:p>
        </w:tc>
        <w:tc>
          <w:tcPr>
            <w:tcW w:w="932" w:type="dxa"/>
            <w:tcBorders>
              <w:top w:val="nil"/>
              <w:left w:val="nil"/>
              <w:bottom w:val="single" w:sz="4" w:space="0" w:color="auto"/>
              <w:right w:val="single" w:sz="4" w:space="0" w:color="auto"/>
            </w:tcBorders>
            <w:shd w:val="clear" w:color="auto" w:fill="auto"/>
            <w:noWrap/>
            <w:vAlign w:val="center"/>
            <w:hideMark/>
          </w:tcPr>
          <w:p w14:paraId="53E81E8B" w14:textId="77777777" w:rsidR="0016508D" w:rsidRPr="0016508D" w:rsidRDefault="0016508D" w:rsidP="0016508D">
            <w:pPr>
              <w:spacing w:after="0" w:line="240" w:lineRule="auto"/>
              <w:jc w:val="right"/>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-3,7</w:t>
            </w:r>
          </w:p>
        </w:tc>
        <w:tc>
          <w:tcPr>
            <w:tcW w:w="1554" w:type="dxa"/>
            <w:tcBorders>
              <w:top w:val="nil"/>
              <w:left w:val="nil"/>
              <w:bottom w:val="single" w:sz="4" w:space="0" w:color="auto"/>
              <w:right w:val="single" w:sz="4" w:space="0" w:color="auto"/>
            </w:tcBorders>
            <w:shd w:val="clear" w:color="auto" w:fill="auto"/>
            <w:noWrap/>
            <w:vAlign w:val="center"/>
            <w:hideMark/>
          </w:tcPr>
          <w:p w14:paraId="0AE89743" w14:textId="77777777" w:rsidR="0016508D" w:rsidRPr="0016508D" w:rsidRDefault="0016508D" w:rsidP="0016508D">
            <w:pPr>
              <w:spacing w:after="0" w:line="240" w:lineRule="auto"/>
              <w:jc w:val="right"/>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4,1</w:t>
            </w:r>
          </w:p>
        </w:tc>
      </w:tr>
      <w:tr w:rsidR="0016508D" w:rsidRPr="0016508D" w14:paraId="0DE6AAAC" w14:textId="77777777" w:rsidTr="0016508D">
        <w:trPr>
          <w:trHeight w:val="250"/>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14:paraId="42D8A422" w14:textId="77777777" w:rsidR="0016508D" w:rsidRPr="0016508D" w:rsidRDefault="0016508D" w:rsidP="0016508D">
            <w:pPr>
              <w:spacing w:after="0" w:line="240" w:lineRule="auto"/>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 xml:space="preserve">Доходы бюджетной системы, в % ВВП (изменение за год, </w:t>
            </w:r>
            <w:proofErr w:type="spellStart"/>
            <w:r w:rsidRPr="0016508D">
              <w:rPr>
                <w:rFonts w:ascii="Times New Roman" w:eastAsia="Times New Roman" w:hAnsi="Times New Roman" w:cs="Times New Roman"/>
                <w:color w:val="000000"/>
                <w:sz w:val="24"/>
                <w:szCs w:val="24"/>
                <w:lang w:eastAsia="ru-RU"/>
              </w:rPr>
              <w:t>п.п</w:t>
            </w:r>
            <w:proofErr w:type="spellEnd"/>
            <w:r w:rsidRPr="0016508D">
              <w:rPr>
                <w:rFonts w:ascii="Times New Roman" w:eastAsia="Times New Roman" w:hAnsi="Times New Roman" w:cs="Times New Roman"/>
                <w:color w:val="000000"/>
                <w:sz w:val="24"/>
                <w:szCs w:val="24"/>
                <w:lang w:eastAsia="ru-RU"/>
              </w:rPr>
              <w:t>.)</w:t>
            </w:r>
          </w:p>
        </w:tc>
        <w:tc>
          <w:tcPr>
            <w:tcW w:w="932" w:type="dxa"/>
            <w:tcBorders>
              <w:top w:val="nil"/>
              <w:left w:val="nil"/>
              <w:bottom w:val="single" w:sz="4" w:space="0" w:color="auto"/>
              <w:right w:val="single" w:sz="4" w:space="0" w:color="auto"/>
            </w:tcBorders>
            <w:shd w:val="clear" w:color="auto" w:fill="auto"/>
            <w:noWrap/>
            <w:vAlign w:val="center"/>
            <w:hideMark/>
          </w:tcPr>
          <w:p w14:paraId="0C1D8931" w14:textId="77777777" w:rsidR="0016508D" w:rsidRPr="0016508D" w:rsidRDefault="0016508D" w:rsidP="0016508D">
            <w:pPr>
              <w:spacing w:after="0" w:line="240" w:lineRule="auto"/>
              <w:jc w:val="right"/>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-3,8</w:t>
            </w:r>
          </w:p>
        </w:tc>
        <w:tc>
          <w:tcPr>
            <w:tcW w:w="932" w:type="dxa"/>
            <w:tcBorders>
              <w:top w:val="nil"/>
              <w:left w:val="nil"/>
              <w:bottom w:val="single" w:sz="4" w:space="0" w:color="auto"/>
              <w:right w:val="single" w:sz="4" w:space="0" w:color="auto"/>
            </w:tcBorders>
            <w:shd w:val="clear" w:color="auto" w:fill="auto"/>
            <w:noWrap/>
            <w:vAlign w:val="center"/>
            <w:hideMark/>
          </w:tcPr>
          <w:p w14:paraId="6424D24C" w14:textId="77777777" w:rsidR="0016508D" w:rsidRPr="0016508D" w:rsidRDefault="0016508D" w:rsidP="0016508D">
            <w:pPr>
              <w:spacing w:after="0" w:line="240" w:lineRule="auto"/>
              <w:jc w:val="right"/>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-1,4</w:t>
            </w:r>
          </w:p>
        </w:tc>
        <w:tc>
          <w:tcPr>
            <w:tcW w:w="1554" w:type="dxa"/>
            <w:tcBorders>
              <w:top w:val="nil"/>
              <w:left w:val="nil"/>
              <w:bottom w:val="single" w:sz="4" w:space="0" w:color="auto"/>
              <w:right w:val="single" w:sz="4" w:space="0" w:color="auto"/>
            </w:tcBorders>
            <w:shd w:val="clear" w:color="auto" w:fill="auto"/>
            <w:noWrap/>
            <w:vAlign w:val="center"/>
            <w:hideMark/>
          </w:tcPr>
          <w:p w14:paraId="73A4A1F8" w14:textId="77777777" w:rsidR="0016508D" w:rsidRPr="0016508D" w:rsidRDefault="0016508D" w:rsidP="0016508D">
            <w:pPr>
              <w:spacing w:after="0" w:line="240" w:lineRule="auto"/>
              <w:jc w:val="right"/>
              <w:rPr>
                <w:rFonts w:ascii="Times New Roman" w:eastAsia="Times New Roman" w:hAnsi="Times New Roman" w:cs="Times New Roman"/>
                <w:color w:val="000000"/>
                <w:sz w:val="24"/>
                <w:szCs w:val="24"/>
                <w:lang w:eastAsia="ru-RU"/>
              </w:rPr>
            </w:pPr>
            <w:r w:rsidRPr="0016508D">
              <w:rPr>
                <w:rFonts w:ascii="Times New Roman" w:eastAsia="Times New Roman" w:hAnsi="Times New Roman" w:cs="Times New Roman"/>
                <w:color w:val="000000"/>
                <w:sz w:val="24"/>
                <w:szCs w:val="24"/>
                <w:lang w:eastAsia="ru-RU"/>
              </w:rPr>
              <w:t>2,4</w:t>
            </w:r>
          </w:p>
        </w:tc>
      </w:tr>
    </w:tbl>
    <w:p w14:paraId="222A76D6" w14:textId="6F02801F" w:rsidR="0016508D" w:rsidRDefault="0016508D" w:rsidP="00D737E1">
      <w:pPr>
        <w:spacing w:line="360" w:lineRule="auto"/>
        <w:ind w:firstLine="709"/>
        <w:jc w:val="both"/>
        <w:rPr>
          <w:rFonts w:ascii="Times New Roman" w:hAnsi="Times New Roman" w:cs="Times New Roman"/>
          <w:i/>
          <w:sz w:val="24"/>
          <w:szCs w:val="24"/>
        </w:rPr>
      </w:pPr>
      <w:r w:rsidRPr="0016508D">
        <w:rPr>
          <w:rFonts w:ascii="Times New Roman" w:hAnsi="Times New Roman" w:cs="Times New Roman"/>
          <w:i/>
          <w:sz w:val="24"/>
          <w:szCs w:val="24"/>
        </w:rPr>
        <w:t>Источник: Росстат, Минфин, расчёты Института "Центр развития" НИУ ВШЭ</w:t>
      </w:r>
    </w:p>
    <w:p w14:paraId="1E6190DA" w14:textId="687335D7" w:rsidR="00A17286" w:rsidRDefault="006C3480" w:rsidP="00D737E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w:t>
      </w:r>
      <w:r w:rsidR="00A17286">
        <w:rPr>
          <w:rFonts w:ascii="Times New Roman" w:hAnsi="Times New Roman" w:cs="Times New Roman"/>
          <w:sz w:val="24"/>
          <w:szCs w:val="24"/>
        </w:rPr>
        <w:t xml:space="preserve">уже в среднесрочном периоде необходимо будет сбалансировать бюджет. </w:t>
      </w:r>
    </w:p>
    <w:p w14:paraId="6267829D" w14:textId="380AAA03" w:rsidR="00890B81" w:rsidRPr="006E58F3" w:rsidRDefault="00890B81" w:rsidP="00D737E1">
      <w:pPr>
        <w:spacing w:line="360" w:lineRule="auto"/>
        <w:ind w:firstLine="709"/>
        <w:jc w:val="both"/>
        <w:rPr>
          <w:rFonts w:ascii="Times New Roman" w:hAnsi="Times New Roman" w:cs="Times New Roman"/>
          <w:b/>
          <w:sz w:val="24"/>
          <w:szCs w:val="24"/>
          <w:u w:val="single"/>
        </w:rPr>
      </w:pPr>
      <w:r w:rsidRPr="006E58F3">
        <w:rPr>
          <w:rFonts w:ascii="Times New Roman" w:hAnsi="Times New Roman" w:cs="Times New Roman"/>
          <w:b/>
          <w:sz w:val="24"/>
          <w:szCs w:val="24"/>
          <w:u w:val="single"/>
        </w:rPr>
        <w:t>Новые доходные источники</w:t>
      </w:r>
    </w:p>
    <w:p w14:paraId="0C28FAED" w14:textId="4F1BFA3C" w:rsidR="00890B81" w:rsidRDefault="00890B81" w:rsidP="00D737E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считаем, что усиливающееся социальное давление и бюджетная ситуация с большой вероятностью </w:t>
      </w:r>
      <w:r w:rsidR="00006136">
        <w:rPr>
          <w:rFonts w:ascii="Times New Roman" w:hAnsi="Times New Roman" w:cs="Times New Roman"/>
          <w:sz w:val="24"/>
          <w:szCs w:val="24"/>
        </w:rPr>
        <w:t xml:space="preserve">могут </w:t>
      </w:r>
      <w:r>
        <w:rPr>
          <w:rFonts w:ascii="Times New Roman" w:hAnsi="Times New Roman" w:cs="Times New Roman"/>
          <w:sz w:val="24"/>
          <w:szCs w:val="24"/>
        </w:rPr>
        <w:t>вынуд</w:t>
      </w:r>
      <w:r w:rsidR="00006136">
        <w:rPr>
          <w:rFonts w:ascii="Times New Roman" w:hAnsi="Times New Roman" w:cs="Times New Roman"/>
          <w:sz w:val="24"/>
          <w:szCs w:val="24"/>
        </w:rPr>
        <w:t>и</w:t>
      </w:r>
      <w:r>
        <w:rPr>
          <w:rFonts w:ascii="Times New Roman" w:hAnsi="Times New Roman" w:cs="Times New Roman"/>
          <w:sz w:val="24"/>
          <w:szCs w:val="24"/>
        </w:rPr>
        <w:t>т</w:t>
      </w:r>
      <w:r w:rsidR="00006136">
        <w:rPr>
          <w:rFonts w:ascii="Times New Roman" w:hAnsi="Times New Roman" w:cs="Times New Roman"/>
          <w:sz w:val="24"/>
          <w:szCs w:val="24"/>
        </w:rPr>
        <w:t>ь</w:t>
      </w:r>
      <w:r>
        <w:rPr>
          <w:rFonts w:ascii="Times New Roman" w:hAnsi="Times New Roman" w:cs="Times New Roman"/>
          <w:sz w:val="24"/>
          <w:szCs w:val="24"/>
        </w:rPr>
        <w:t xml:space="preserve"> государство перейти к плоской шкале социальных выплат и прогрессивному налогообложению доходов физических лиц. Это позволит получить дополнительные доходы, но с учетом неизбежного ухода в тень прирост не компенсирует даже половины нынешнего бюджетного дефицита. </w:t>
      </w:r>
      <w:r w:rsidR="00006136">
        <w:rPr>
          <w:rFonts w:ascii="Times New Roman" w:hAnsi="Times New Roman" w:cs="Times New Roman"/>
          <w:sz w:val="24"/>
          <w:szCs w:val="24"/>
        </w:rPr>
        <w:t>Дополнительным эффектом будет восприятие большинством населения социально-экономического устройства России как более справедливого.</w:t>
      </w:r>
      <w:r>
        <w:rPr>
          <w:rFonts w:ascii="Times New Roman" w:hAnsi="Times New Roman" w:cs="Times New Roman"/>
          <w:sz w:val="24"/>
          <w:szCs w:val="24"/>
        </w:rPr>
        <w:t xml:space="preserve">  </w:t>
      </w:r>
    </w:p>
    <w:p w14:paraId="35B2EB5A" w14:textId="3E6E78C8" w:rsidR="00006136" w:rsidRDefault="00006136" w:rsidP="00D737E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этом долгосрочный эффект такой меры мы оцениваем как негативный. В этом сценарии резко возрастает нагрузка на средний класс, его рост замедляется и платежеспособный спрос домохозяйств (особенно на инновационные товары и услуги и на социальные услуги) теряет от 30 до 50% потенциальной динамики. Это также ограничит развитие национальных «длинных денег».</w:t>
      </w:r>
    </w:p>
    <w:p w14:paraId="2F1C5C8F" w14:textId="0136BA6A" w:rsidR="00006136" w:rsidRDefault="00006136" w:rsidP="00D737E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Нам представляется </w:t>
      </w:r>
      <w:r w:rsidR="005B4A28">
        <w:rPr>
          <w:rFonts w:ascii="Times New Roman" w:hAnsi="Times New Roman" w:cs="Times New Roman"/>
          <w:sz w:val="24"/>
          <w:szCs w:val="24"/>
        </w:rPr>
        <w:t xml:space="preserve"> гораздо более безопасным для будущего роста - повышение налогов на потребление (от акцизов до местных налогов с продаж). Серьезный прирост собираемости, по нашему мнению, даст состоявшаяся передача ФНС администрирования таможенных сборов и выплат в социальные фонды.</w:t>
      </w:r>
    </w:p>
    <w:p w14:paraId="6EE772F2" w14:textId="3AE2257F" w:rsidR="00006136" w:rsidRDefault="005B4A28" w:rsidP="008C6C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Общая экономическая ситуация (спад-стагнация-очень медленный рост) не позволяет в среднесрочной перспективе сбалансировать бюджет расширенного правительства за счет прироста доходов. Необходимо сокращать расходы.</w:t>
      </w:r>
    </w:p>
    <w:p w14:paraId="1C5D0D6A" w14:textId="577D6AF8" w:rsidR="00A17286" w:rsidRPr="006E58F3" w:rsidRDefault="00890B81" w:rsidP="00D737E1">
      <w:pPr>
        <w:spacing w:line="360" w:lineRule="auto"/>
        <w:ind w:firstLine="709"/>
        <w:jc w:val="both"/>
        <w:rPr>
          <w:rFonts w:ascii="Times New Roman" w:hAnsi="Times New Roman" w:cs="Times New Roman"/>
          <w:b/>
          <w:sz w:val="24"/>
          <w:szCs w:val="24"/>
          <w:u w:val="single"/>
        </w:rPr>
      </w:pPr>
      <w:r w:rsidRPr="006E58F3">
        <w:rPr>
          <w:rFonts w:ascii="Times New Roman" w:hAnsi="Times New Roman" w:cs="Times New Roman"/>
          <w:b/>
          <w:sz w:val="24"/>
          <w:szCs w:val="24"/>
          <w:u w:val="single"/>
        </w:rPr>
        <w:t>Четыре</w:t>
      </w:r>
      <w:r w:rsidR="00A17286" w:rsidRPr="006E58F3">
        <w:rPr>
          <w:rFonts w:ascii="Times New Roman" w:hAnsi="Times New Roman" w:cs="Times New Roman"/>
          <w:b/>
          <w:sz w:val="24"/>
          <w:szCs w:val="24"/>
          <w:u w:val="single"/>
        </w:rPr>
        <w:t xml:space="preserve"> возможных сектора </w:t>
      </w:r>
      <w:r w:rsidR="005B4A28" w:rsidRPr="006E58F3">
        <w:rPr>
          <w:rFonts w:ascii="Times New Roman" w:hAnsi="Times New Roman" w:cs="Times New Roman"/>
          <w:b/>
          <w:sz w:val="24"/>
          <w:szCs w:val="24"/>
          <w:u w:val="single"/>
        </w:rPr>
        <w:t>сокращения бюджетных расходов</w:t>
      </w:r>
      <w:r w:rsidR="00A17286" w:rsidRPr="006E58F3">
        <w:rPr>
          <w:rFonts w:ascii="Times New Roman" w:hAnsi="Times New Roman" w:cs="Times New Roman"/>
          <w:b/>
          <w:sz w:val="24"/>
          <w:szCs w:val="24"/>
          <w:u w:val="single"/>
        </w:rPr>
        <w:t>.</w:t>
      </w:r>
    </w:p>
    <w:p w14:paraId="4BEBC4BE" w14:textId="391752AC" w:rsidR="00A17286" w:rsidRDefault="00A17286" w:rsidP="00D737E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Первый – субсидирование экономики</w:t>
      </w:r>
      <w:r w:rsidR="00481A40">
        <w:rPr>
          <w:rFonts w:ascii="Times New Roman" w:hAnsi="Times New Roman" w:cs="Times New Roman"/>
          <w:sz w:val="24"/>
          <w:szCs w:val="24"/>
        </w:rPr>
        <w:t>. Это</w:t>
      </w:r>
      <w:r w:rsidR="006865C9">
        <w:rPr>
          <w:rFonts w:ascii="Times New Roman" w:hAnsi="Times New Roman" w:cs="Times New Roman"/>
          <w:sz w:val="24"/>
          <w:szCs w:val="24"/>
        </w:rPr>
        <w:t xml:space="preserve"> направление расходов нуждается в самом серьезном пересмотре. В настоящее время бюджетная поддержка </w:t>
      </w:r>
      <w:r w:rsidR="00481A40">
        <w:rPr>
          <w:rFonts w:ascii="Times New Roman" w:hAnsi="Times New Roman" w:cs="Times New Roman"/>
          <w:sz w:val="24"/>
          <w:szCs w:val="24"/>
        </w:rPr>
        <w:t xml:space="preserve"> </w:t>
      </w:r>
      <w:r w:rsidR="006865C9">
        <w:rPr>
          <w:rFonts w:ascii="Times New Roman" w:hAnsi="Times New Roman" w:cs="Times New Roman"/>
          <w:sz w:val="24"/>
          <w:szCs w:val="24"/>
        </w:rPr>
        <w:t xml:space="preserve">отраслей и регионов имеет хаотичный и «антикризисный» характер и не привязана к реальным перспективам экспорта. Следует сохранить только </w:t>
      </w:r>
      <w:r w:rsidR="00F61B78">
        <w:rPr>
          <w:rFonts w:ascii="Times New Roman" w:hAnsi="Times New Roman" w:cs="Times New Roman"/>
          <w:sz w:val="24"/>
          <w:szCs w:val="24"/>
        </w:rPr>
        <w:t>два</w:t>
      </w:r>
      <w:r w:rsidR="006865C9">
        <w:rPr>
          <w:rFonts w:ascii="Times New Roman" w:hAnsi="Times New Roman" w:cs="Times New Roman"/>
          <w:sz w:val="24"/>
          <w:szCs w:val="24"/>
        </w:rPr>
        <w:t xml:space="preserve"> направления: транспортная инфраструктура</w:t>
      </w:r>
      <w:r w:rsidR="00F61B78">
        <w:rPr>
          <w:rFonts w:ascii="Times New Roman" w:hAnsi="Times New Roman" w:cs="Times New Roman"/>
          <w:sz w:val="24"/>
          <w:szCs w:val="24"/>
        </w:rPr>
        <w:t xml:space="preserve"> и</w:t>
      </w:r>
      <w:r w:rsidR="006865C9">
        <w:rPr>
          <w:rFonts w:ascii="Times New Roman" w:hAnsi="Times New Roman" w:cs="Times New Roman"/>
          <w:sz w:val="24"/>
          <w:szCs w:val="24"/>
        </w:rPr>
        <w:t xml:space="preserve"> </w:t>
      </w:r>
      <w:r w:rsidR="00F61B78">
        <w:rPr>
          <w:rFonts w:ascii="Times New Roman" w:hAnsi="Times New Roman" w:cs="Times New Roman"/>
          <w:sz w:val="24"/>
          <w:szCs w:val="24"/>
        </w:rPr>
        <w:t>сельское хозяйство</w:t>
      </w:r>
      <w:r w:rsidR="006865C9">
        <w:rPr>
          <w:rFonts w:ascii="Times New Roman" w:hAnsi="Times New Roman" w:cs="Times New Roman"/>
          <w:sz w:val="24"/>
          <w:szCs w:val="24"/>
        </w:rPr>
        <w:t>. Отдельно (как внебюджетны</w:t>
      </w:r>
      <w:r w:rsidR="00F61B78">
        <w:rPr>
          <w:rFonts w:ascii="Times New Roman" w:hAnsi="Times New Roman" w:cs="Times New Roman"/>
          <w:sz w:val="24"/>
          <w:szCs w:val="24"/>
        </w:rPr>
        <w:t>е</w:t>
      </w:r>
      <w:r w:rsidR="006865C9">
        <w:rPr>
          <w:rFonts w:ascii="Times New Roman" w:hAnsi="Times New Roman" w:cs="Times New Roman"/>
          <w:sz w:val="24"/>
          <w:szCs w:val="24"/>
        </w:rPr>
        <w:t>) долж</w:t>
      </w:r>
      <w:r w:rsidR="00F61B78">
        <w:rPr>
          <w:rFonts w:ascii="Times New Roman" w:hAnsi="Times New Roman" w:cs="Times New Roman"/>
          <w:sz w:val="24"/>
          <w:szCs w:val="24"/>
        </w:rPr>
        <w:t>ны</w:t>
      </w:r>
      <w:r w:rsidR="006865C9">
        <w:rPr>
          <w:rFonts w:ascii="Times New Roman" w:hAnsi="Times New Roman" w:cs="Times New Roman"/>
          <w:sz w:val="24"/>
          <w:szCs w:val="24"/>
        </w:rPr>
        <w:t xml:space="preserve"> существовать фонд</w:t>
      </w:r>
      <w:r w:rsidR="00F61B78">
        <w:rPr>
          <w:rFonts w:ascii="Times New Roman" w:hAnsi="Times New Roman" w:cs="Times New Roman"/>
          <w:sz w:val="24"/>
          <w:szCs w:val="24"/>
        </w:rPr>
        <w:t>ы</w:t>
      </w:r>
      <w:r w:rsidR="006865C9">
        <w:rPr>
          <w:rFonts w:ascii="Times New Roman" w:hAnsi="Times New Roman" w:cs="Times New Roman"/>
          <w:sz w:val="24"/>
          <w:szCs w:val="24"/>
        </w:rPr>
        <w:t xml:space="preserve"> технологического обновления промышленности</w:t>
      </w:r>
      <w:r w:rsidR="00F61B78">
        <w:rPr>
          <w:rFonts w:ascii="Times New Roman" w:hAnsi="Times New Roman" w:cs="Times New Roman"/>
          <w:sz w:val="24"/>
          <w:szCs w:val="24"/>
        </w:rPr>
        <w:t xml:space="preserve"> и поддержки высокотехнологичного экспорта</w:t>
      </w:r>
      <w:r w:rsidR="006865C9">
        <w:rPr>
          <w:rFonts w:ascii="Times New Roman" w:hAnsi="Times New Roman" w:cs="Times New Roman"/>
          <w:sz w:val="24"/>
          <w:szCs w:val="24"/>
        </w:rPr>
        <w:t>.</w:t>
      </w:r>
    </w:p>
    <w:p w14:paraId="396AA13E" w14:textId="70315F08" w:rsidR="00A17286" w:rsidRDefault="00A17286" w:rsidP="00D737E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Второй – стоимость государства</w:t>
      </w:r>
      <w:r w:rsidR="006865C9">
        <w:rPr>
          <w:rFonts w:ascii="Times New Roman" w:hAnsi="Times New Roman" w:cs="Times New Roman"/>
          <w:sz w:val="24"/>
          <w:szCs w:val="24"/>
        </w:rPr>
        <w:t xml:space="preserve">. </w:t>
      </w:r>
      <w:r w:rsidR="00890B81">
        <w:rPr>
          <w:rFonts w:ascii="Times New Roman" w:hAnsi="Times New Roman" w:cs="Times New Roman"/>
          <w:sz w:val="24"/>
          <w:szCs w:val="24"/>
        </w:rPr>
        <w:t xml:space="preserve">Раздутый и малоэффективный аппарат исполнительной власти необходимо резко сократить,  </w:t>
      </w:r>
      <w:r w:rsidR="007D4BBD">
        <w:rPr>
          <w:rFonts w:ascii="Times New Roman" w:hAnsi="Times New Roman" w:cs="Times New Roman"/>
          <w:sz w:val="24"/>
          <w:szCs w:val="24"/>
        </w:rPr>
        <w:t>хотя опыт показывает, что это сокращение должно начинать</w:t>
      </w:r>
      <w:r w:rsidR="00E3511C">
        <w:rPr>
          <w:rFonts w:ascii="Times New Roman" w:hAnsi="Times New Roman" w:cs="Times New Roman"/>
          <w:sz w:val="24"/>
          <w:szCs w:val="24"/>
        </w:rPr>
        <w:t>ся</w:t>
      </w:r>
      <w:r w:rsidR="007D4BBD">
        <w:rPr>
          <w:rFonts w:ascii="Times New Roman" w:hAnsi="Times New Roman" w:cs="Times New Roman"/>
          <w:sz w:val="24"/>
          <w:szCs w:val="24"/>
        </w:rPr>
        <w:t xml:space="preserve"> с функций,  а не с людей. В любом случае главный эффект сокращения государства – это </w:t>
      </w:r>
      <w:r w:rsidR="005D7B4D">
        <w:rPr>
          <w:rFonts w:ascii="Times New Roman" w:hAnsi="Times New Roman" w:cs="Times New Roman"/>
          <w:sz w:val="24"/>
          <w:szCs w:val="24"/>
        </w:rPr>
        <w:t xml:space="preserve">прирост налоговых доходов от бизнеса, а не сокращение прямых расходов. </w:t>
      </w:r>
      <w:r w:rsidR="007D4BBD">
        <w:rPr>
          <w:rFonts w:ascii="Times New Roman" w:hAnsi="Times New Roman" w:cs="Times New Roman"/>
          <w:sz w:val="24"/>
          <w:szCs w:val="24"/>
        </w:rPr>
        <w:t xml:space="preserve"> </w:t>
      </w:r>
    </w:p>
    <w:p w14:paraId="6750F1F3" w14:textId="6DD524CD" w:rsidR="00A17286" w:rsidRDefault="00A17286" w:rsidP="00D737E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Третий – социальные расходы</w:t>
      </w:r>
      <w:r w:rsidR="006865C9">
        <w:rPr>
          <w:rFonts w:ascii="Times New Roman" w:hAnsi="Times New Roman" w:cs="Times New Roman"/>
          <w:sz w:val="24"/>
          <w:szCs w:val="24"/>
        </w:rPr>
        <w:t>. В среднесрочном периоде повышение пенсионного возраста и отказ от выплаты пенсии работающим пенсионерам позволит начать снижение бюджетного трансфер</w:t>
      </w:r>
      <w:r w:rsidR="001213B1">
        <w:rPr>
          <w:rFonts w:ascii="Times New Roman" w:hAnsi="Times New Roman" w:cs="Times New Roman"/>
          <w:sz w:val="24"/>
          <w:szCs w:val="24"/>
        </w:rPr>
        <w:t>т</w:t>
      </w:r>
      <w:r w:rsidR="006865C9">
        <w:rPr>
          <w:rFonts w:ascii="Times New Roman" w:hAnsi="Times New Roman" w:cs="Times New Roman"/>
          <w:sz w:val="24"/>
          <w:szCs w:val="24"/>
        </w:rPr>
        <w:t xml:space="preserve">а пенсионному фонду. </w:t>
      </w:r>
      <w:r w:rsidR="00F61B78">
        <w:rPr>
          <w:rFonts w:ascii="Times New Roman" w:hAnsi="Times New Roman" w:cs="Times New Roman"/>
          <w:sz w:val="24"/>
          <w:szCs w:val="24"/>
        </w:rPr>
        <w:t xml:space="preserve">Переход на адресную систему социальной поддержки также позволит несколько сократить расходы в реальном выражении (в доле от ВВП). </w:t>
      </w:r>
    </w:p>
    <w:p w14:paraId="6C1E92B7" w14:textId="31179EF5" w:rsidR="006865C9" w:rsidRDefault="00A17286" w:rsidP="00D737E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Четвертый – оборона и безопасность</w:t>
      </w:r>
      <w:r w:rsidR="00F61B78">
        <w:rPr>
          <w:rFonts w:ascii="Times New Roman" w:hAnsi="Times New Roman" w:cs="Times New Roman"/>
          <w:sz w:val="24"/>
          <w:szCs w:val="24"/>
        </w:rPr>
        <w:t xml:space="preserve">. В условиях бюджетного дефицита государству придется </w:t>
      </w:r>
      <w:r w:rsidR="00585C5F">
        <w:rPr>
          <w:rFonts w:ascii="Times New Roman" w:hAnsi="Times New Roman" w:cs="Times New Roman"/>
          <w:sz w:val="24"/>
          <w:szCs w:val="24"/>
        </w:rPr>
        <w:t>сниж</w:t>
      </w:r>
      <w:r w:rsidR="00F61B78">
        <w:rPr>
          <w:rFonts w:ascii="Times New Roman" w:hAnsi="Times New Roman" w:cs="Times New Roman"/>
          <w:sz w:val="24"/>
          <w:szCs w:val="24"/>
        </w:rPr>
        <w:t xml:space="preserve">ать и наращенные в последние годы расходы на этих направлениях. При этом </w:t>
      </w:r>
      <w:r w:rsidR="00F61B78">
        <w:rPr>
          <w:rFonts w:ascii="Times New Roman" w:hAnsi="Times New Roman" w:cs="Times New Roman"/>
          <w:sz w:val="24"/>
          <w:szCs w:val="24"/>
        </w:rPr>
        <w:lastRenderedPageBreak/>
        <w:t xml:space="preserve">нежелательно </w:t>
      </w:r>
      <w:r w:rsidR="00890B81">
        <w:rPr>
          <w:rFonts w:ascii="Times New Roman" w:hAnsi="Times New Roman" w:cs="Times New Roman"/>
          <w:sz w:val="24"/>
          <w:szCs w:val="24"/>
        </w:rPr>
        <w:t>р</w:t>
      </w:r>
      <w:r w:rsidR="008C6CBF">
        <w:rPr>
          <w:rFonts w:ascii="Times New Roman" w:hAnsi="Times New Roman" w:cs="Times New Roman"/>
          <w:sz w:val="24"/>
          <w:szCs w:val="24"/>
        </w:rPr>
        <w:t>езк</w:t>
      </w:r>
      <w:r w:rsidR="00890B81">
        <w:rPr>
          <w:rFonts w:ascii="Times New Roman" w:hAnsi="Times New Roman" w:cs="Times New Roman"/>
          <w:sz w:val="24"/>
          <w:szCs w:val="24"/>
        </w:rPr>
        <w:t xml:space="preserve">о </w:t>
      </w:r>
      <w:r w:rsidR="00F61B78">
        <w:rPr>
          <w:rFonts w:ascii="Times New Roman" w:hAnsi="Times New Roman" w:cs="Times New Roman"/>
          <w:sz w:val="24"/>
          <w:szCs w:val="24"/>
        </w:rPr>
        <w:t>сокращать государственную программу вооружений, поскольку это приведет к омертвлению огромных уже произведенных затрат</w:t>
      </w:r>
      <w:r w:rsidR="00E3511C">
        <w:rPr>
          <w:rFonts w:ascii="Times New Roman" w:hAnsi="Times New Roman" w:cs="Times New Roman"/>
          <w:sz w:val="24"/>
          <w:szCs w:val="24"/>
        </w:rPr>
        <w:t>, однако возможно растянуть ее исполнение</w:t>
      </w:r>
      <w:r w:rsidR="00F61B78">
        <w:rPr>
          <w:rFonts w:ascii="Times New Roman" w:hAnsi="Times New Roman" w:cs="Times New Roman"/>
          <w:sz w:val="24"/>
          <w:szCs w:val="24"/>
        </w:rPr>
        <w:t>.</w:t>
      </w:r>
    </w:p>
    <w:p w14:paraId="7DEE640A" w14:textId="77777777" w:rsidR="00FA36F0" w:rsidRDefault="008E439E" w:rsidP="00D737E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2012 году эксперты, подготовившие «Стратегию 2020» </w:t>
      </w:r>
      <w:r w:rsidR="00FA36F0">
        <w:rPr>
          <w:rFonts w:ascii="Times New Roman" w:hAnsi="Times New Roman" w:cs="Times New Roman"/>
          <w:sz w:val="24"/>
          <w:szCs w:val="24"/>
        </w:rPr>
        <w:t>говорили о необходимости бюджетного маневра в пользу образования, здравоохранения и транспортной связности. Он не был реализован, но проблема никуда не ушла.</w:t>
      </w:r>
      <w:r>
        <w:rPr>
          <w:rFonts w:ascii="Times New Roman" w:hAnsi="Times New Roman" w:cs="Times New Roman"/>
          <w:sz w:val="24"/>
          <w:szCs w:val="24"/>
        </w:rPr>
        <w:t xml:space="preserve"> </w:t>
      </w:r>
      <w:r w:rsidR="00585C5F">
        <w:rPr>
          <w:rFonts w:ascii="Times New Roman" w:hAnsi="Times New Roman" w:cs="Times New Roman"/>
          <w:sz w:val="24"/>
          <w:szCs w:val="24"/>
        </w:rPr>
        <w:t>Чтобы сохранить глобальную конкурентоспособность России в среднесрочном периоде,</w:t>
      </w:r>
      <w:r w:rsidR="006865C9">
        <w:rPr>
          <w:rFonts w:ascii="Times New Roman" w:hAnsi="Times New Roman" w:cs="Times New Roman"/>
          <w:sz w:val="24"/>
          <w:szCs w:val="24"/>
        </w:rPr>
        <w:t xml:space="preserve"> </w:t>
      </w:r>
      <w:r w:rsidR="00585C5F">
        <w:rPr>
          <w:rFonts w:ascii="Times New Roman" w:hAnsi="Times New Roman" w:cs="Times New Roman"/>
          <w:sz w:val="24"/>
          <w:szCs w:val="24"/>
        </w:rPr>
        <w:t xml:space="preserve">необходимо обеспечить </w:t>
      </w:r>
      <w:r w:rsidR="00585C5F" w:rsidRPr="009310E6">
        <w:rPr>
          <w:rFonts w:ascii="Times New Roman" w:hAnsi="Times New Roman" w:cs="Times New Roman"/>
          <w:b/>
          <w:sz w:val="24"/>
          <w:szCs w:val="24"/>
        </w:rPr>
        <w:t>увеличение</w:t>
      </w:r>
      <w:r>
        <w:rPr>
          <w:rFonts w:ascii="Times New Roman" w:hAnsi="Times New Roman" w:cs="Times New Roman"/>
          <w:b/>
          <w:sz w:val="24"/>
          <w:szCs w:val="24"/>
        </w:rPr>
        <w:t xml:space="preserve"> в реальном выражении</w:t>
      </w:r>
      <w:r w:rsidR="00585C5F">
        <w:rPr>
          <w:rFonts w:ascii="Times New Roman" w:hAnsi="Times New Roman" w:cs="Times New Roman"/>
          <w:sz w:val="24"/>
          <w:szCs w:val="24"/>
        </w:rPr>
        <w:t xml:space="preserve"> бюджетных расходов на образование и науку</w:t>
      </w:r>
      <w:r w:rsidR="00585C5F">
        <w:rPr>
          <w:rStyle w:val="af"/>
          <w:rFonts w:ascii="Times New Roman" w:hAnsi="Times New Roman" w:cs="Times New Roman"/>
          <w:sz w:val="24"/>
          <w:szCs w:val="24"/>
        </w:rPr>
        <w:footnoteReference w:id="10"/>
      </w:r>
      <w:r w:rsidR="00585C5F">
        <w:rPr>
          <w:rFonts w:ascii="Times New Roman" w:hAnsi="Times New Roman" w:cs="Times New Roman"/>
          <w:sz w:val="24"/>
          <w:szCs w:val="24"/>
        </w:rPr>
        <w:t xml:space="preserve">, высокотехнологичную медицину и формирование транспортной инфраструктуры. </w:t>
      </w:r>
      <w:r>
        <w:rPr>
          <w:rFonts w:ascii="Times New Roman" w:hAnsi="Times New Roman" w:cs="Times New Roman"/>
          <w:sz w:val="24"/>
          <w:szCs w:val="24"/>
        </w:rPr>
        <w:t>Одновременно, скорее всего, придется повысить уровень отчислений на обязательное медицинское страхование.</w:t>
      </w:r>
      <w:r w:rsidR="00585C5F">
        <w:rPr>
          <w:rFonts w:ascii="Times New Roman" w:hAnsi="Times New Roman" w:cs="Times New Roman"/>
          <w:sz w:val="24"/>
          <w:szCs w:val="24"/>
        </w:rPr>
        <w:t xml:space="preserve">  </w:t>
      </w:r>
    </w:p>
    <w:p w14:paraId="074B90E3" w14:textId="2EAD1FD4" w:rsidR="00420395" w:rsidRPr="006C3480" w:rsidRDefault="00FA36F0" w:rsidP="00D737E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условиях бюджетного кризиса говорить о необходимости увеличения расходов сложно, но это не снимает проблемы – скорее ставит вопрос о последовательности ее решения. С учетом невысокой политической силы лоббистов этих секторов, можно предположить, что бюджетный маневр в их пользу будет отодвинут на период после 2020 года, когда будет обеспечен умеренным ростом доходов бюджета.</w:t>
      </w:r>
      <w:r w:rsidR="004B21FA">
        <w:rPr>
          <w:rFonts w:ascii="Times New Roman" w:hAnsi="Times New Roman" w:cs="Times New Roman"/>
          <w:sz w:val="24"/>
          <w:szCs w:val="24"/>
        </w:rPr>
        <w:t xml:space="preserve"> С точки зрения выбора правительством оптимальной стратегии, в ближайшие годы мы бы советовали сосредоточиться на поддержке науки и высокотехнологичной медицины, где необходимо срочно компенсировать катастрофическое сокращение валютных расходов. </w:t>
      </w:r>
    </w:p>
    <w:p w14:paraId="56A191E4" w14:textId="62FDE6EB" w:rsidR="003322EA" w:rsidRDefault="006C3480"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один пострадавший – регионы. </w:t>
      </w:r>
      <w:r w:rsidR="00CE2F2A" w:rsidRPr="00546E78">
        <w:rPr>
          <w:rFonts w:ascii="Times New Roman" w:hAnsi="Times New Roman" w:cs="Times New Roman"/>
          <w:sz w:val="24"/>
          <w:szCs w:val="24"/>
        </w:rPr>
        <w:t xml:space="preserve">Учитывая, что основное бремя социальной нагрузки и </w:t>
      </w:r>
      <w:r>
        <w:rPr>
          <w:rFonts w:ascii="Times New Roman" w:hAnsi="Times New Roman" w:cs="Times New Roman"/>
          <w:sz w:val="24"/>
          <w:szCs w:val="24"/>
        </w:rPr>
        <w:t xml:space="preserve">социально значимой </w:t>
      </w:r>
      <w:r w:rsidR="00CE2F2A" w:rsidRPr="00546E78">
        <w:rPr>
          <w:rFonts w:ascii="Times New Roman" w:hAnsi="Times New Roman" w:cs="Times New Roman"/>
          <w:sz w:val="24"/>
          <w:szCs w:val="24"/>
        </w:rPr>
        <w:t>инфраструктуры лежит на региональных администрациях, а также необходимость долгосрочного урегулирования проблемы региональных дефицитов и долга, федеральн</w:t>
      </w:r>
      <w:r w:rsidR="00CE2F2A">
        <w:rPr>
          <w:rFonts w:ascii="Times New Roman" w:hAnsi="Times New Roman" w:cs="Times New Roman"/>
          <w:sz w:val="24"/>
          <w:szCs w:val="24"/>
        </w:rPr>
        <w:t>ому</w:t>
      </w:r>
      <w:r w:rsidR="00CE2F2A" w:rsidRPr="00546E78">
        <w:rPr>
          <w:rFonts w:ascii="Times New Roman" w:hAnsi="Times New Roman" w:cs="Times New Roman"/>
          <w:sz w:val="24"/>
          <w:szCs w:val="24"/>
        </w:rPr>
        <w:t xml:space="preserve"> центр</w:t>
      </w:r>
      <w:r w:rsidR="00CE2F2A">
        <w:rPr>
          <w:rFonts w:ascii="Times New Roman" w:hAnsi="Times New Roman" w:cs="Times New Roman"/>
          <w:sz w:val="24"/>
          <w:szCs w:val="24"/>
        </w:rPr>
        <w:t>у придется</w:t>
      </w:r>
      <w:r w:rsidR="00CE2F2A" w:rsidRPr="00546E78">
        <w:rPr>
          <w:rFonts w:ascii="Times New Roman" w:hAnsi="Times New Roman" w:cs="Times New Roman"/>
          <w:sz w:val="24"/>
          <w:szCs w:val="24"/>
        </w:rPr>
        <w:t xml:space="preserve"> уйти от практики «разовых подачек» регионам на решение наиболее горящих проблем, а на постоянной основе перераспределить часть </w:t>
      </w:r>
      <w:r w:rsidR="00CE2F2A">
        <w:rPr>
          <w:rFonts w:ascii="Times New Roman" w:hAnsi="Times New Roman" w:cs="Times New Roman"/>
          <w:sz w:val="24"/>
          <w:szCs w:val="24"/>
        </w:rPr>
        <w:t>доходов</w:t>
      </w:r>
      <w:r w:rsidR="00CE2F2A" w:rsidRPr="00546E78">
        <w:rPr>
          <w:rFonts w:ascii="Times New Roman" w:hAnsi="Times New Roman" w:cs="Times New Roman"/>
          <w:sz w:val="24"/>
          <w:szCs w:val="24"/>
        </w:rPr>
        <w:t xml:space="preserve"> (в размере 1-1,5% ВВП) на региональный уровень.</w:t>
      </w:r>
      <w:r w:rsidR="00CE2F2A">
        <w:rPr>
          <w:rFonts w:ascii="Times New Roman" w:hAnsi="Times New Roman" w:cs="Times New Roman"/>
          <w:sz w:val="24"/>
          <w:szCs w:val="24"/>
        </w:rPr>
        <w:t xml:space="preserve"> </w:t>
      </w:r>
    </w:p>
    <w:p w14:paraId="1F619D7B" w14:textId="4F695029" w:rsidR="003322EA" w:rsidRDefault="003322EA" w:rsidP="003322EA">
      <w:pPr>
        <w:keepNext/>
        <w:spacing w:before="240" w:after="0" w:line="360" w:lineRule="auto"/>
        <w:ind w:firstLine="709"/>
        <w:rPr>
          <w:rFonts w:ascii="Times New Roman" w:eastAsia="Times New Roman" w:hAnsi="Times New Roman" w:cs="Times New Roman"/>
          <w:b/>
          <w:bCs/>
          <w:spacing w:val="-4"/>
          <w:lang w:eastAsia="ru-RU"/>
        </w:rPr>
      </w:pPr>
      <w:r w:rsidRPr="0074175D">
        <w:rPr>
          <w:rFonts w:ascii="Times New Roman" w:eastAsia="Times New Roman" w:hAnsi="Times New Roman" w:cs="Times New Roman"/>
          <w:b/>
          <w:bCs/>
          <w:spacing w:val="-4"/>
          <w:lang w:eastAsia="ru-RU"/>
        </w:rPr>
        <w:lastRenderedPageBreak/>
        <w:t>Рис.</w:t>
      </w:r>
      <w:r w:rsidR="006E58F3">
        <w:rPr>
          <w:rFonts w:ascii="Times New Roman" w:eastAsia="Times New Roman" w:hAnsi="Times New Roman" w:cs="Times New Roman"/>
          <w:b/>
          <w:bCs/>
          <w:spacing w:val="-4"/>
          <w:lang w:eastAsia="ru-RU"/>
        </w:rPr>
        <w:t xml:space="preserve"> 4</w:t>
      </w:r>
      <w:r>
        <w:rPr>
          <w:rFonts w:ascii="Times New Roman" w:eastAsia="Times New Roman" w:hAnsi="Times New Roman" w:cs="Times New Roman"/>
          <w:b/>
          <w:bCs/>
          <w:spacing w:val="-4"/>
          <w:lang w:eastAsia="ru-RU"/>
        </w:rPr>
        <w:t>.1.</w:t>
      </w:r>
      <w:r w:rsidRPr="0074175D">
        <w:rPr>
          <w:rFonts w:ascii="Times New Roman" w:eastAsia="Times New Roman" w:hAnsi="Times New Roman" w:cs="Times New Roman"/>
          <w:b/>
          <w:bCs/>
          <w:spacing w:val="-4"/>
          <w:lang w:eastAsia="ru-RU"/>
        </w:rPr>
        <w:t xml:space="preserve"> Долг регионов и муниципалитетов, % ВВП за 2009-2015 гг.</w:t>
      </w:r>
    </w:p>
    <w:p w14:paraId="7EE3378A" w14:textId="77777777" w:rsidR="003322EA" w:rsidRPr="0074175D" w:rsidRDefault="003322EA" w:rsidP="003322EA">
      <w:pPr>
        <w:keepNext/>
        <w:spacing w:before="240" w:after="0" w:line="360" w:lineRule="auto"/>
        <w:ind w:firstLine="709"/>
        <w:rPr>
          <w:rFonts w:ascii="Calibri" w:eastAsia="Times New Roman" w:hAnsi="Calibri" w:cs="Calibri"/>
          <w:b/>
          <w:bCs/>
          <w:spacing w:val="-4"/>
          <w:lang w:eastAsia="ru-RU"/>
        </w:rPr>
      </w:pPr>
      <w:r w:rsidRPr="0074175D">
        <w:rPr>
          <w:rFonts w:ascii="Calibri" w:eastAsia="Times New Roman" w:hAnsi="Calibri" w:cs="Calibri"/>
          <w:b/>
          <w:bCs/>
          <w:noProof/>
          <w:spacing w:val="-4"/>
          <w:lang w:eastAsia="ru-RU"/>
        </w:rPr>
        <w:drawing>
          <wp:inline distT="0" distB="0" distL="0" distR="0" wp14:anchorId="5C9A476D" wp14:editId="25B30B86">
            <wp:extent cx="3472162" cy="2323289"/>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4187" cy="2324644"/>
                    </a:xfrm>
                    <a:prstGeom prst="rect">
                      <a:avLst/>
                    </a:prstGeom>
                    <a:noFill/>
                  </pic:spPr>
                </pic:pic>
              </a:graphicData>
            </a:graphic>
          </wp:inline>
        </w:drawing>
      </w:r>
    </w:p>
    <w:p w14:paraId="6DD69836" w14:textId="77777777" w:rsidR="003322EA" w:rsidRPr="0074175D" w:rsidRDefault="003322EA" w:rsidP="003322EA">
      <w:pPr>
        <w:spacing w:before="20" w:after="240" w:line="360" w:lineRule="auto"/>
        <w:ind w:firstLine="709"/>
        <w:rPr>
          <w:rFonts w:ascii="Times New Roman" w:eastAsia="Times New Roman" w:hAnsi="Times New Roman" w:cs="Times New Roman"/>
          <w:i/>
          <w:sz w:val="24"/>
          <w:szCs w:val="24"/>
        </w:rPr>
      </w:pPr>
      <w:r w:rsidRPr="00560004">
        <w:rPr>
          <w:rFonts w:ascii="Times New Roman" w:eastAsia="Times New Roman" w:hAnsi="Times New Roman" w:cs="Times New Roman"/>
          <w:i/>
          <w:sz w:val="24"/>
          <w:szCs w:val="24"/>
        </w:rPr>
        <w:t xml:space="preserve">Источник: </w:t>
      </w:r>
      <w:r w:rsidRPr="0074175D">
        <w:rPr>
          <w:rFonts w:ascii="Times New Roman" w:eastAsia="Times New Roman" w:hAnsi="Times New Roman" w:cs="Times New Roman"/>
          <w:i/>
          <w:sz w:val="24"/>
          <w:szCs w:val="24"/>
        </w:rPr>
        <w:t xml:space="preserve">Минфин России, расчёты </w:t>
      </w:r>
      <w:r w:rsidRPr="0074175D">
        <w:rPr>
          <w:rFonts w:ascii="Times New Roman" w:eastAsia="Times New Roman" w:hAnsi="Times New Roman" w:cs="Times New Roman"/>
          <w:i/>
          <w:sz w:val="24"/>
          <w:szCs w:val="24"/>
          <w:lang w:eastAsia="ru-RU"/>
        </w:rPr>
        <w:t>Института</w:t>
      </w:r>
      <w:r w:rsidRPr="0074175D">
        <w:rPr>
          <w:rFonts w:ascii="Times New Roman" w:eastAsia="Times New Roman" w:hAnsi="Times New Roman" w:cs="Times New Roman"/>
          <w:i/>
          <w:sz w:val="24"/>
          <w:szCs w:val="24"/>
        </w:rPr>
        <w:t xml:space="preserve"> «</w:t>
      </w:r>
      <w:r w:rsidRPr="0074175D">
        <w:rPr>
          <w:rFonts w:ascii="Times New Roman" w:eastAsia="Times New Roman" w:hAnsi="Times New Roman" w:cs="Times New Roman"/>
          <w:i/>
          <w:sz w:val="24"/>
          <w:szCs w:val="24"/>
          <w:lang w:eastAsia="ru-RU"/>
        </w:rPr>
        <w:t>Центр</w:t>
      </w:r>
      <w:r w:rsidRPr="0074175D">
        <w:rPr>
          <w:rFonts w:ascii="Times New Roman" w:eastAsia="Times New Roman" w:hAnsi="Times New Roman" w:cs="Times New Roman"/>
          <w:i/>
          <w:sz w:val="24"/>
          <w:szCs w:val="24"/>
        </w:rPr>
        <w:t xml:space="preserve"> </w:t>
      </w:r>
      <w:r w:rsidRPr="0074175D">
        <w:rPr>
          <w:rFonts w:ascii="Times New Roman" w:eastAsia="Times New Roman" w:hAnsi="Times New Roman" w:cs="Times New Roman"/>
          <w:i/>
          <w:sz w:val="24"/>
          <w:szCs w:val="24"/>
          <w:lang w:eastAsia="ru-RU"/>
        </w:rPr>
        <w:t>развития</w:t>
      </w:r>
      <w:r w:rsidRPr="0074175D">
        <w:rPr>
          <w:rFonts w:ascii="Times New Roman" w:eastAsia="Times New Roman" w:hAnsi="Times New Roman" w:cs="Times New Roman"/>
          <w:i/>
          <w:sz w:val="24"/>
          <w:szCs w:val="24"/>
        </w:rPr>
        <w:t>» НИУ ВШЭ.</w:t>
      </w:r>
    </w:p>
    <w:p w14:paraId="390CB718" w14:textId="0F66B4D1" w:rsidR="00CE2F2A" w:rsidRDefault="00CE2F2A"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Сложившийся в России высокий уровень межрегионального неравенства с учетом социальных рисков не позволит делать это путем передачи регионам налоговых источников. На эту сумму должен будет повыситься объем перераспределяемых между регионами трансфертов.</w:t>
      </w:r>
    </w:p>
    <w:p w14:paraId="11A120F0" w14:textId="77777777" w:rsidR="00DB18EE" w:rsidRPr="006E58F3" w:rsidRDefault="00DB18EE" w:rsidP="009310E6">
      <w:pPr>
        <w:spacing w:line="360" w:lineRule="auto"/>
        <w:ind w:firstLine="709"/>
        <w:jc w:val="both"/>
        <w:rPr>
          <w:rFonts w:ascii="Times New Roman" w:hAnsi="Times New Roman" w:cs="Times New Roman"/>
          <w:b/>
          <w:sz w:val="24"/>
          <w:szCs w:val="24"/>
          <w:u w:val="single"/>
        </w:rPr>
      </w:pPr>
      <w:r w:rsidRPr="006E58F3">
        <w:rPr>
          <w:rFonts w:ascii="Times New Roman" w:hAnsi="Times New Roman" w:cs="Times New Roman"/>
          <w:b/>
          <w:sz w:val="24"/>
          <w:szCs w:val="24"/>
          <w:u w:val="single"/>
        </w:rPr>
        <w:t>Бюджетная развилка.</w:t>
      </w:r>
    </w:p>
    <w:p w14:paraId="6D794424" w14:textId="77777777" w:rsidR="00DB18EE" w:rsidRDefault="00DB18EE" w:rsidP="009310E6">
      <w:pPr>
        <w:spacing w:line="360" w:lineRule="auto"/>
        <w:ind w:firstLine="709"/>
        <w:jc w:val="both"/>
        <w:rPr>
          <w:rFonts w:ascii="Times New Roman" w:hAnsi="Times New Roman" w:cs="Times New Roman"/>
          <w:sz w:val="24"/>
          <w:szCs w:val="24"/>
        </w:rPr>
      </w:pPr>
      <w:r w:rsidRPr="00677B98">
        <w:rPr>
          <w:rFonts w:ascii="Times New Roman" w:hAnsi="Times New Roman" w:cs="Times New Roman"/>
          <w:sz w:val="24"/>
          <w:szCs w:val="24"/>
        </w:rPr>
        <w:t xml:space="preserve">Суть </w:t>
      </w:r>
      <w:r>
        <w:rPr>
          <w:rFonts w:ascii="Times New Roman" w:hAnsi="Times New Roman" w:cs="Times New Roman"/>
          <w:sz w:val="24"/>
          <w:szCs w:val="24"/>
        </w:rPr>
        <w:t xml:space="preserve">основной </w:t>
      </w:r>
      <w:r w:rsidRPr="00677B98">
        <w:rPr>
          <w:rFonts w:ascii="Times New Roman" w:hAnsi="Times New Roman" w:cs="Times New Roman"/>
          <w:sz w:val="24"/>
          <w:szCs w:val="24"/>
        </w:rPr>
        <w:t xml:space="preserve">развилки, которую предстоит пройти </w:t>
      </w:r>
      <w:r>
        <w:rPr>
          <w:rFonts w:ascii="Times New Roman" w:hAnsi="Times New Roman" w:cs="Times New Roman"/>
          <w:sz w:val="24"/>
          <w:szCs w:val="24"/>
        </w:rPr>
        <w:t>на пути трансформации экономической модели</w:t>
      </w:r>
      <w:r w:rsidRPr="00677B98">
        <w:rPr>
          <w:rFonts w:ascii="Times New Roman" w:hAnsi="Times New Roman" w:cs="Times New Roman"/>
          <w:sz w:val="24"/>
          <w:szCs w:val="24"/>
        </w:rPr>
        <w:t>, в определении будущей доли и структуры бюджетного сектора в экономике, от чего зависит и способ балансировки бюджета.</w:t>
      </w:r>
    </w:p>
    <w:p w14:paraId="603818AE" w14:textId="77777777" w:rsidR="00DB18EE" w:rsidRPr="00677B98" w:rsidRDefault="00DB18EE" w:rsidP="003322EA">
      <w:pPr>
        <w:spacing w:line="360" w:lineRule="auto"/>
        <w:ind w:firstLine="709"/>
        <w:jc w:val="both"/>
        <w:rPr>
          <w:rFonts w:ascii="Times New Roman" w:hAnsi="Times New Roman" w:cs="Times New Roman"/>
          <w:sz w:val="24"/>
          <w:szCs w:val="24"/>
        </w:rPr>
      </w:pPr>
      <w:r w:rsidRPr="00677B98">
        <w:rPr>
          <w:rFonts w:ascii="Times New Roman" w:hAnsi="Times New Roman" w:cs="Times New Roman"/>
          <w:sz w:val="24"/>
          <w:szCs w:val="24"/>
        </w:rPr>
        <w:t xml:space="preserve">Первый путь </w:t>
      </w:r>
      <w:r>
        <w:rPr>
          <w:rFonts w:ascii="Times New Roman" w:hAnsi="Times New Roman" w:cs="Times New Roman"/>
          <w:sz w:val="24"/>
          <w:szCs w:val="24"/>
        </w:rPr>
        <w:t>заключается в том, чтобы</w:t>
      </w:r>
      <w:r w:rsidRPr="00677B98">
        <w:rPr>
          <w:rFonts w:ascii="Times New Roman" w:hAnsi="Times New Roman" w:cs="Times New Roman"/>
          <w:sz w:val="24"/>
          <w:szCs w:val="24"/>
        </w:rPr>
        <w:t xml:space="preserve"> более радикально</w:t>
      </w:r>
      <w:r>
        <w:rPr>
          <w:rFonts w:ascii="Times New Roman" w:hAnsi="Times New Roman" w:cs="Times New Roman"/>
          <w:sz w:val="24"/>
          <w:szCs w:val="24"/>
        </w:rPr>
        <w:t>, чем сейчас,</w:t>
      </w:r>
      <w:r w:rsidRPr="00677B98">
        <w:rPr>
          <w:rFonts w:ascii="Times New Roman" w:hAnsi="Times New Roman" w:cs="Times New Roman"/>
          <w:sz w:val="24"/>
          <w:szCs w:val="24"/>
        </w:rPr>
        <w:t xml:space="preserve"> сокращать расходы. В рамках </w:t>
      </w:r>
      <w:r>
        <w:rPr>
          <w:rFonts w:ascii="Times New Roman" w:hAnsi="Times New Roman" w:cs="Times New Roman"/>
          <w:sz w:val="24"/>
          <w:szCs w:val="24"/>
        </w:rPr>
        <w:t>существующих институциональных ограничений</w:t>
      </w:r>
      <w:r w:rsidRPr="00677B98">
        <w:rPr>
          <w:rFonts w:ascii="Times New Roman" w:hAnsi="Times New Roman" w:cs="Times New Roman"/>
          <w:sz w:val="24"/>
          <w:szCs w:val="24"/>
        </w:rPr>
        <w:t xml:space="preserve"> сокращение бюджетного пирога приводит к тому, что крупные и сильные лоббисты вытесняют более слабых, не</w:t>
      </w:r>
      <w:r>
        <w:rPr>
          <w:rFonts w:ascii="Times New Roman" w:hAnsi="Times New Roman" w:cs="Times New Roman"/>
          <w:sz w:val="24"/>
          <w:szCs w:val="24"/>
        </w:rPr>
        <w:t xml:space="preserve"> принимая во внимание</w:t>
      </w:r>
      <w:r w:rsidRPr="00677B98">
        <w:rPr>
          <w:rFonts w:ascii="Times New Roman" w:hAnsi="Times New Roman" w:cs="Times New Roman"/>
          <w:sz w:val="24"/>
          <w:szCs w:val="24"/>
        </w:rPr>
        <w:t xml:space="preserve"> рациональные аргументы о сравнительной эффективности различных видов расходов. Учитывая нынешнюю мощь лоббистов в </w:t>
      </w:r>
      <w:proofErr w:type="spellStart"/>
      <w:r w:rsidRPr="00677B98">
        <w:rPr>
          <w:rFonts w:ascii="Times New Roman" w:hAnsi="Times New Roman" w:cs="Times New Roman"/>
          <w:sz w:val="24"/>
          <w:szCs w:val="24"/>
        </w:rPr>
        <w:t>госкорпорациях</w:t>
      </w:r>
      <w:proofErr w:type="spellEnd"/>
      <w:r w:rsidRPr="00677B98">
        <w:rPr>
          <w:rFonts w:ascii="Times New Roman" w:hAnsi="Times New Roman" w:cs="Times New Roman"/>
          <w:sz w:val="24"/>
          <w:szCs w:val="24"/>
        </w:rPr>
        <w:t xml:space="preserve"> и оборонном секторе, а также аффилированных с властной элитой подрядчиков, «оптимизация» затрагивает их в наименьшей степени. Пока у государства есть запас лояльности со стороны населения, который позволяет урезать социальные программы, но надо понимать, что снижение объемов и качества бюджетных услуг чревато в будущем деградацией образовательного и культурного уровня людей, ростом заболеваемости и смертности, а балансировка пенсионной системы без реформы, просто за счет постепенного обесценения пенсионных обязательств - откатом к временам массовой бедности.</w:t>
      </w:r>
    </w:p>
    <w:p w14:paraId="6317B1F0" w14:textId="1C6DAF6D" w:rsidR="00DB18EE" w:rsidRPr="00677B98" w:rsidRDefault="00DB18EE" w:rsidP="00973826">
      <w:pPr>
        <w:spacing w:line="360" w:lineRule="auto"/>
        <w:ind w:firstLine="709"/>
        <w:jc w:val="both"/>
        <w:rPr>
          <w:rFonts w:ascii="Times New Roman" w:hAnsi="Times New Roman" w:cs="Times New Roman"/>
          <w:sz w:val="24"/>
          <w:szCs w:val="24"/>
        </w:rPr>
      </w:pPr>
      <w:r w:rsidRPr="00677B98">
        <w:rPr>
          <w:rFonts w:ascii="Times New Roman" w:hAnsi="Times New Roman" w:cs="Times New Roman"/>
          <w:sz w:val="24"/>
          <w:szCs w:val="24"/>
        </w:rPr>
        <w:lastRenderedPageBreak/>
        <w:t>С другой стороны, если объем расходных обязательств бюджетной системы относительно ВВП не снизится за ближайшие годы на 3-4 процентных пункта (где-то за счет номинального сокращения, где-то за счет отказа от индексации), долгосрочная сбалансированность дости</w:t>
      </w:r>
      <w:r>
        <w:rPr>
          <w:rFonts w:ascii="Times New Roman" w:hAnsi="Times New Roman" w:cs="Times New Roman"/>
          <w:sz w:val="24"/>
          <w:szCs w:val="24"/>
        </w:rPr>
        <w:t>жима</w:t>
      </w:r>
      <w:r w:rsidRPr="00677B98">
        <w:rPr>
          <w:rFonts w:ascii="Times New Roman" w:hAnsi="Times New Roman" w:cs="Times New Roman"/>
          <w:sz w:val="24"/>
          <w:szCs w:val="24"/>
        </w:rPr>
        <w:t xml:space="preserve"> только путем повышения налогов. Пока рассматриваются отдельные предложения, такие как введение акцизов на «вредные продукты» или повышения акцизов на алкоголь, но здесь речь идет о небольших суммах. Возможно новое повышение налогов на нефтегазовую отрасль</w:t>
      </w:r>
      <w:r w:rsidR="00E3511C">
        <w:rPr>
          <w:rFonts w:ascii="Times New Roman" w:hAnsi="Times New Roman" w:cs="Times New Roman"/>
          <w:sz w:val="24"/>
          <w:szCs w:val="24"/>
        </w:rPr>
        <w:t xml:space="preserve">, поскольку </w:t>
      </w:r>
      <w:r>
        <w:rPr>
          <w:rFonts w:ascii="Times New Roman" w:hAnsi="Times New Roman" w:cs="Times New Roman"/>
          <w:sz w:val="24"/>
          <w:szCs w:val="24"/>
        </w:rPr>
        <w:t>д</w:t>
      </w:r>
      <w:r w:rsidRPr="00677B98">
        <w:rPr>
          <w:rFonts w:ascii="Times New Roman" w:hAnsi="Times New Roman" w:cs="Times New Roman"/>
          <w:sz w:val="24"/>
          <w:szCs w:val="24"/>
        </w:rPr>
        <w:t>аже при снижении цен на нефть, сырьевые компании чувствуют себя лучше других</w:t>
      </w:r>
      <w:r>
        <w:rPr>
          <w:rFonts w:ascii="Times New Roman" w:hAnsi="Times New Roman" w:cs="Times New Roman"/>
          <w:sz w:val="24"/>
          <w:szCs w:val="24"/>
        </w:rPr>
        <w:t xml:space="preserve">. Однако, </w:t>
      </w:r>
      <w:r w:rsidRPr="00677B98">
        <w:rPr>
          <w:rFonts w:ascii="Times New Roman" w:hAnsi="Times New Roman" w:cs="Times New Roman"/>
          <w:sz w:val="24"/>
          <w:szCs w:val="24"/>
        </w:rPr>
        <w:t>имея в виду, что в перспективе бюджету надо уходить от сырьевой зависимости, балансировать его за счет повышения нефтяных налогов недальновидно.</w:t>
      </w:r>
    </w:p>
    <w:p w14:paraId="1F121F27" w14:textId="77777777" w:rsidR="00DB18EE" w:rsidRPr="00677B98" w:rsidRDefault="00DB18EE" w:rsidP="009310E6">
      <w:pPr>
        <w:spacing w:line="360" w:lineRule="auto"/>
        <w:ind w:firstLine="709"/>
        <w:jc w:val="both"/>
        <w:rPr>
          <w:rFonts w:ascii="Times New Roman" w:hAnsi="Times New Roman" w:cs="Times New Roman"/>
          <w:sz w:val="24"/>
          <w:szCs w:val="24"/>
        </w:rPr>
      </w:pPr>
      <w:r w:rsidRPr="00677B98">
        <w:rPr>
          <w:rFonts w:ascii="Times New Roman" w:hAnsi="Times New Roman" w:cs="Times New Roman"/>
          <w:sz w:val="24"/>
          <w:szCs w:val="24"/>
        </w:rPr>
        <w:t xml:space="preserve">Еще один возможный источник дополнительных налоговых поступлений – социальные платежи. Самый простой вариант – установление для всех уровней зарплат плоской шкалы выплат в Пенсионный фонд. </w:t>
      </w:r>
      <w:r>
        <w:rPr>
          <w:rFonts w:ascii="Times New Roman" w:hAnsi="Times New Roman" w:cs="Times New Roman"/>
          <w:sz w:val="24"/>
          <w:szCs w:val="24"/>
        </w:rPr>
        <w:t>Есть и б</w:t>
      </w:r>
      <w:r w:rsidRPr="00677B98">
        <w:rPr>
          <w:rFonts w:ascii="Times New Roman" w:hAnsi="Times New Roman" w:cs="Times New Roman"/>
          <w:sz w:val="24"/>
          <w:szCs w:val="24"/>
        </w:rPr>
        <w:t xml:space="preserve">олее сложные решения – повышение подоходного налога, который остается в России одним из самых низких или внедрение </w:t>
      </w:r>
      <w:proofErr w:type="spellStart"/>
      <w:r w:rsidRPr="00677B98">
        <w:rPr>
          <w:rFonts w:ascii="Times New Roman" w:hAnsi="Times New Roman" w:cs="Times New Roman"/>
          <w:sz w:val="24"/>
          <w:szCs w:val="24"/>
        </w:rPr>
        <w:t>квазиналоговых</w:t>
      </w:r>
      <w:proofErr w:type="spellEnd"/>
      <w:r w:rsidRPr="00677B98">
        <w:rPr>
          <w:rFonts w:ascii="Times New Roman" w:hAnsi="Times New Roman" w:cs="Times New Roman"/>
          <w:sz w:val="24"/>
          <w:szCs w:val="24"/>
        </w:rPr>
        <w:t xml:space="preserve"> </w:t>
      </w:r>
      <w:proofErr w:type="spellStart"/>
      <w:r w:rsidRPr="00677B98">
        <w:rPr>
          <w:rFonts w:ascii="Times New Roman" w:hAnsi="Times New Roman" w:cs="Times New Roman"/>
          <w:sz w:val="24"/>
          <w:szCs w:val="24"/>
        </w:rPr>
        <w:t>соплатежей</w:t>
      </w:r>
      <w:proofErr w:type="spellEnd"/>
      <w:r w:rsidRPr="00677B98">
        <w:rPr>
          <w:rFonts w:ascii="Times New Roman" w:hAnsi="Times New Roman" w:cs="Times New Roman"/>
          <w:sz w:val="24"/>
          <w:szCs w:val="24"/>
        </w:rPr>
        <w:t xml:space="preserve"> населения за бюджетные услуги. К сожалению, практически любые инициативы в налоговой сфере при прочих равных приведут к еще большему подавлению экономической активности и углублению рецессии. Если </w:t>
      </w:r>
      <w:r>
        <w:rPr>
          <w:rFonts w:ascii="Times New Roman" w:hAnsi="Times New Roman" w:cs="Times New Roman"/>
          <w:sz w:val="24"/>
          <w:szCs w:val="24"/>
        </w:rPr>
        <w:t xml:space="preserve">еще </w:t>
      </w:r>
      <w:r w:rsidRPr="00677B98">
        <w:rPr>
          <w:rFonts w:ascii="Times New Roman" w:hAnsi="Times New Roman" w:cs="Times New Roman"/>
          <w:sz w:val="24"/>
          <w:szCs w:val="24"/>
        </w:rPr>
        <w:t>при этом часть налогоплательщиков уйдет в тень, есть риск не получить ожидаемого повышения эффективной налоговой ставки и доходов бюджета.</w:t>
      </w:r>
    </w:p>
    <w:p w14:paraId="1541E247" w14:textId="77777777" w:rsidR="00DB18EE" w:rsidRDefault="00DB18EE" w:rsidP="009310E6">
      <w:pPr>
        <w:spacing w:line="360" w:lineRule="auto"/>
        <w:ind w:firstLine="709"/>
        <w:jc w:val="both"/>
        <w:rPr>
          <w:rFonts w:ascii="Times New Roman" w:hAnsi="Times New Roman" w:cs="Times New Roman"/>
          <w:sz w:val="24"/>
          <w:szCs w:val="24"/>
        </w:rPr>
      </w:pPr>
      <w:r w:rsidRPr="00677B98">
        <w:rPr>
          <w:rFonts w:ascii="Times New Roman" w:hAnsi="Times New Roman" w:cs="Times New Roman"/>
          <w:sz w:val="24"/>
          <w:szCs w:val="24"/>
        </w:rPr>
        <w:t xml:space="preserve">Приватизация долей государства в собственности компаний </w:t>
      </w:r>
      <w:r>
        <w:rPr>
          <w:rFonts w:ascii="Times New Roman" w:hAnsi="Times New Roman" w:cs="Times New Roman"/>
          <w:sz w:val="24"/>
          <w:szCs w:val="24"/>
        </w:rPr>
        <w:t>давно назрела, однако нежелание чиновников и нынешнего менеджмента отказываться при этом от реального контроля мешает выработать эффективную схему. К тому же доходы бюджета от приватизации в любом случае будут носить разовый характер.</w:t>
      </w:r>
    </w:p>
    <w:p w14:paraId="1B927FBB" w14:textId="77777777" w:rsidR="00DB18EE" w:rsidRPr="00677B98" w:rsidRDefault="00DB18EE" w:rsidP="009310E6">
      <w:pPr>
        <w:spacing w:line="360" w:lineRule="auto"/>
        <w:ind w:firstLine="709"/>
        <w:jc w:val="both"/>
        <w:rPr>
          <w:rFonts w:ascii="Times New Roman" w:hAnsi="Times New Roman" w:cs="Times New Roman"/>
          <w:sz w:val="24"/>
          <w:szCs w:val="24"/>
        </w:rPr>
      </w:pPr>
      <w:r w:rsidRPr="00677B98">
        <w:rPr>
          <w:rFonts w:ascii="Times New Roman" w:hAnsi="Times New Roman" w:cs="Times New Roman"/>
          <w:sz w:val="24"/>
          <w:szCs w:val="24"/>
        </w:rPr>
        <w:t xml:space="preserve">Минфин </w:t>
      </w:r>
      <w:r>
        <w:rPr>
          <w:rFonts w:ascii="Times New Roman" w:hAnsi="Times New Roman" w:cs="Times New Roman"/>
          <w:sz w:val="24"/>
          <w:szCs w:val="24"/>
        </w:rPr>
        <w:t xml:space="preserve">также </w:t>
      </w:r>
      <w:r w:rsidRPr="00677B98">
        <w:rPr>
          <w:rFonts w:ascii="Times New Roman" w:hAnsi="Times New Roman" w:cs="Times New Roman"/>
          <w:sz w:val="24"/>
          <w:szCs w:val="24"/>
        </w:rPr>
        <w:t xml:space="preserve">может выйти </w:t>
      </w:r>
      <w:r>
        <w:rPr>
          <w:rFonts w:ascii="Times New Roman" w:hAnsi="Times New Roman" w:cs="Times New Roman"/>
          <w:sz w:val="24"/>
          <w:szCs w:val="24"/>
        </w:rPr>
        <w:t xml:space="preserve">на рынок </w:t>
      </w:r>
      <w:r w:rsidRPr="00677B98">
        <w:rPr>
          <w:rFonts w:ascii="Times New Roman" w:hAnsi="Times New Roman" w:cs="Times New Roman"/>
          <w:sz w:val="24"/>
          <w:szCs w:val="24"/>
        </w:rPr>
        <w:t xml:space="preserve">с новыми заимствованиями, </w:t>
      </w:r>
      <w:r>
        <w:rPr>
          <w:rFonts w:ascii="Times New Roman" w:hAnsi="Times New Roman" w:cs="Times New Roman"/>
          <w:sz w:val="24"/>
          <w:szCs w:val="24"/>
        </w:rPr>
        <w:t>несмотря на то, что</w:t>
      </w:r>
      <w:r w:rsidRPr="00677B98">
        <w:rPr>
          <w:rFonts w:ascii="Times New Roman" w:hAnsi="Times New Roman" w:cs="Times New Roman"/>
          <w:sz w:val="24"/>
          <w:szCs w:val="24"/>
        </w:rPr>
        <w:t xml:space="preserve"> высокие ставки будут генерировать расходные обязательства на следующие годы. При этом текущие расходы бюджета будут профинансированы за счет внутренних инвестиционных ресурсов (которых и так не хватает). В краткосрочном плане такая политика может сработать, потому что сейчас у банков и компаний действительно много ликвидности, которая никуда не вкладывается из-за плохого делового климата. </w:t>
      </w:r>
      <w:r>
        <w:rPr>
          <w:rFonts w:ascii="Times New Roman" w:hAnsi="Times New Roman" w:cs="Times New Roman"/>
          <w:sz w:val="24"/>
          <w:szCs w:val="24"/>
        </w:rPr>
        <w:t>Однако,</w:t>
      </w:r>
      <w:r w:rsidRPr="00677B98">
        <w:rPr>
          <w:rFonts w:ascii="Times New Roman" w:hAnsi="Times New Roman" w:cs="Times New Roman"/>
          <w:sz w:val="24"/>
          <w:szCs w:val="24"/>
        </w:rPr>
        <w:t xml:space="preserve"> если </w:t>
      </w:r>
      <w:r>
        <w:rPr>
          <w:rFonts w:ascii="Times New Roman" w:hAnsi="Times New Roman" w:cs="Times New Roman"/>
          <w:sz w:val="24"/>
          <w:szCs w:val="24"/>
        </w:rPr>
        <w:t xml:space="preserve">эти средства </w:t>
      </w:r>
      <w:r w:rsidRPr="00677B98">
        <w:rPr>
          <w:rFonts w:ascii="Times New Roman" w:hAnsi="Times New Roman" w:cs="Times New Roman"/>
          <w:sz w:val="24"/>
          <w:szCs w:val="24"/>
        </w:rPr>
        <w:t xml:space="preserve">будут вложены в госбумаги, то </w:t>
      </w:r>
      <w:r>
        <w:rPr>
          <w:rFonts w:ascii="Times New Roman" w:hAnsi="Times New Roman" w:cs="Times New Roman"/>
          <w:sz w:val="24"/>
          <w:szCs w:val="24"/>
        </w:rPr>
        <w:t xml:space="preserve">они </w:t>
      </w:r>
      <w:r w:rsidRPr="00677B98">
        <w:rPr>
          <w:rFonts w:ascii="Times New Roman" w:hAnsi="Times New Roman" w:cs="Times New Roman"/>
          <w:sz w:val="24"/>
          <w:szCs w:val="24"/>
        </w:rPr>
        <w:t xml:space="preserve">не </w:t>
      </w:r>
      <w:r>
        <w:rPr>
          <w:rFonts w:ascii="Times New Roman" w:hAnsi="Times New Roman" w:cs="Times New Roman"/>
          <w:sz w:val="24"/>
          <w:szCs w:val="24"/>
        </w:rPr>
        <w:t>будут инвестированы в экономику и в последующие годы.</w:t>
      </w:r>
    </w:p>
    <w:p w14:paraId="5E3AFCC7" w14:textId="77777777" w:rsidR="00DB18EE" w:rsidRPr="00677B98" w:rsidRDefault="00DB18EE" w:rsidP="009310E6">
      <w:pPr>
        <w:spacing w:line="360" w:lineRule="auto"/>
        <w:ind w:firstLine="709"/>
        <w:jc w:val="both"/>
        <w:rPr>
          <w:rFonts w:ascii="Times New Roman" w:hAnsi="Times New Roman" w:cs="Times New Roman"/>
          <w:sz w:val="24"/>
          <w:szCs w:val="24"/>
        </w:rPr>
      </w:pPr>
      <w:r w:rsidRPr="00677B98">
        <w:rPr>
          <w:rFonts w:ascii="Times New Roman" w:hAnsi="Times New Roman" w:cs="Times New Roman"/>
          <w:sz w:val="24"/>
          <w:szCs w:val="24"/>
        </w:rPr>
        <w:t xml:space="preserve">По мере исчерпания резервов довольно реальной становится </w:t>
      </w:r>
      <w:r>
        <w:rPr>
          <w:rFonts w:ascii="Times New Roman" w:hAnsi="Times New Roman" w:cs="Times New Roman"/>
          <w:sz w:val="24"/>
          <w:szCs w:val="24"/>
        </w:rPr>
        <w:t>еще одна</w:t>
      </w:r>
      <w:r w:rsidRPr="00677B98">
        <w:rPr>
          <w:rFonts w:ascii="Times New Roman" w:hAnsi="Times New Roman" w:cs="Times New Roman"/>
          <w:sz w:val="24"/>
          <w:szCs w:val="24"/>
        </w:rPr>
        <w:t xml:space="preserve"> альтернатива</w:t>
      </w:r>
      <w:r>
        <w:rPr>
          <w:rFonts w:ascii="Times New Roman" w:hAnsi="Times New Roman" w:cs="Times New Roman"/>
          <w:sz w:val="24"/>
          <w:szCs w:val="24"/>
        </w:rPr>
        <w:t xml:space="preserve"> – вместо снижения</w:t>
      </w:r>
      <w:r w:rsidRPr="00677B98">
        <w:rPr>
          <w:rFonts w:ascii="Times New Roman" w:hAnsi="Times New Roman" w:cs="Times New Roman"/>
          <w:sz w:val="24"/>
          <w:szCs w:val="24"/>
        </w:rPr>
        <w:t xml:space="preserve"> расход</w:t>
      </w:r>
      <w:r>
        <w:rPr>
          <w:rFonts w:ascii="Times New Roman" w:hAnsi="Times New Roman" w:cs="Times New Roman"/>
          <w:sz w:val="24"/>
          <w:szCs w:val="24"/>
        </w:rPr>
        <w:t>ов и</w:t>
      </w:r>
      <w:r w:rsidRPr="00677B98">
        <w:rPr>
          <w:rFonts w:ascii="Times New Roman" w:hAnsi="Times New Roman" w:cs="Times New Roman"/>
          <w:sz w:val="24"/>
          <w:szCs w:val="24"/>
        </w:rPr>
        <w:t xml:space="preserve"> повышения налогов </w:t>
      </w:r>
      <w:r>
        <w:rPr>
          <w:rFonts w:ascii="Times New Roman" w:hAnsi="Times New Roman" w:cs="Times New Roman"/>
          <w:sz w:val="24"/>
          <w:szCs w:val="24"/>
        </w:rPr>
        <w:t xml:space="preserve">использование в той или иной форме </w:t>
      </w:r>
      <w:r>
        <w:rPr>
          <w:rFonts w:ascii="Times New Roman" w:hAnsi="Times New Roman" w:cs="Times New Roman"/>
          <w:sz w:val="24"/>
          <w:szCs w:val="24"/>
        </w:rPr>
        <w:lastRenderedPageBreak/>
        <w:t>эмиссионного финансирования дефицита</w:t>
      </w:r>
      <w:r w:rsidRPr="00677B98">
        <w:rPr>
          <w:rFonts w:ascii="Times New Roman" w:hAnsi="Times New Roman" w:cs="Times New Roman"/>
          <w:sz w:val="24"/>
          <w:szCs w:val="24"/>
        </w:rPr>
        <w:t>. Помимо очевидных инфляционных последствий (по нашим оценкам</w:t>
      </w:r>
      <w:r>
        <w:rPr>
          <w:rFonts w:ascii="Times New Roman" w:hAnsi="Times New Roman" w:cs="Times New Roman"/>
          <w:sz w:val="24"/>
          <w:szCs w:val="24"/>
        </w:rPr>
        <w:t>,</w:t>
      </w:r>
      <w:r w:rsidRPr="00677B98">
        <w:rPr>
          <w:rFonts w:ascii="Times New Roman" w:hAnsi="Times New Roman" w:cs="Times New Roman"/>
          <w:sz w:val="24"/>
          <w:szCs w:val="24"/>
        </w:rPr>
        <w:t xml:space="preserve"> инфляция в этом случае будет оставаться двухзначной, обесценивая как текущие доходы, так и сбережения населения), проблемой эмиссионно</w:t>
      </w:r>
      <w:r>
        <w:rPr>
          <w:rFonts w:ascii="Times New Roman" w:hAnsi="Times New Roman" w:cs="Times New Roman"/>
          <w:sz w:val="24"/>
          <w:szCs w:val="24"/>
        </w:rPr>
        <w:t>го финансирования</w:t>
      </w:r>
      <w:r w:rsidRPr="00677B98">
        <w:rPr>
          <w:rFonts w:ascii="Times New Roman" w:hAnsi="Times New Roman" w:cs="Times New Roman"/>
          <w:sz w:val="24"/>
          <w:szCs w:val="24"/>
        </w:rPr>
        <w:t xml:space="preserve"> является неэффективное распределение ресурсов. </w:t>
      </w:r>
      <w:r>
        <w:rPr>
          <w:rFonts w:ascii="Times New Roman" w:hAnsi="Times New Roman" w:cs="Times New Roman"/>
          <w:sz w:val="24"/>
          <w:szCs w:val="24"/>
        </w:rPr>
        <w:t>Вследствие все тех же институциональных ограничений средства получат прежде всего</w:t>
      </w:r>
      <w:r w:rsidRPr="00677B98">
        <w:rPr>
          <w:rFonts w:ascii="Times New Roman" w:hAnsi="Times New Roman" w:cs="Times New Roman"/>
          <w:sz w:val="24"/>
          <w:szCs w:val="24"/>
        </w:rPr>
        <w:t xml:space="preserve"> сильны</w:t>
      </w:r>
      <w:r>
        <w:rPr>
          <w:rFonts w:ascii="Times New Roman" w:hAnsi="Times New Roman" w:cs="Times New Roman"/>
          <w:sz w:val="24"/>
          <w:szCs w:val="24"/>
        </w:rPr>
        <w:t>е</w:t>
      </w:r>
      <w:r w:rsidRPr="00677B98">
        <w:rPr>
          <w:rFonts w:ascii="Times New Roman" w:hAnsi="Times New Roman" w:cs="Times New Roman"/>
          <w:sz w:val="24"/>
          <w:szCs w:val="24"/>
        </w:rPr>
        <w:t xml:space="preserve"> лоббист</w:t>
      </w:r>
      <w:r>
        <w:rPr>
          <w:rFonts w:ascii="Times New Roman" w:hAnsi="Times New Roman" w:cs="Times New Roman"/>
          <w:sz w:val="24"/>
          <w:szCs w:val="24"/>
        </w:rPr>
        <w:t>ы</w:t>
      </w:r>
      <w:r w:rsidRPr="00677B98">
        <w:rPr>
          <w:rFonts w:ascii="Times New Roman" w:hAnsi="Times New Roman" w:cs="Times New Roman"/>
          <w:sz w:val="24"/>
          <w:szCs w:val="24"/>
        </w:rPr>
        <w:t xml:space="preserve">. </w:t>
      </w:r>
      <w:r>
        <w:rPr>
          <w:rFonts w:ascii="Times New Roman" w:hAnsi="Times New Roman" w:cs="Times New Roman"/>
          <w:sz w:val="24"/>
          <w:szCs w:val="24"/>
        </w:rPr>
        <w:t>В 2016 году</w:t>
      </w:r>
      <w:r w:rsidRPr="00677B98">
        <w:rPr>
          <w:rFonts w:ascii="Times New Roman" w:hAnsi="Times New Roman" w:cs="Times New Roman"/>
          <w:sz w:val="24"/>
          <w:szCs w:val="24"/>
        </w:rPr>
        <w:t xml:space="preserve"> объем эмиссии конвенционально ограничен объемом Резервного фонда – </w:t>
      </w:r>
      <w:r>
        <w:rPr>
          <w:rFonts w:ascii="Times New Roman" w:hAnsi="Times New Roman" w:cs="Times New Roman"/>
          <w:sz w:val="24"/>
          <w:szCs w:val="24"/>
        </w:rPr>
        <w:t>Минфин продает валюту Центральному банку</w:t>
      </w:r>
      <w:r w:rsidRPr="00677B98">
        <w:rPr>
          <w:rFonts w:ascii="Times New Roman" w:hAnsi="Times New Roman" w:cs="Times New Roman"/>
          <w:sz w:val="24"/>
          <w:szCs w:val="24"/>
        </w:rPr>
        <w:t xml:space="preserve">, который печатает рубли на покрытие дефицита бюджета, при этом </w:t>
      </w:r>
      <w:r>
        <w:rPr>
          <w:rFonts w:ascii="Times New Roman" w:hAnsi="Times New Roman" w:cs="Times New Roman"/>
          <w:sz w:val="24"/>
          <w:szCs w:val="24"/>
        </w:rPr>
        <w:t>Центральный банк</w:t>
      </w:r>
      <w:r w:rsidRPr="00677B98">
        <w:rPr>
          <w:rFonts w:ascii="Times New Roman" w:hAnsi="Times New Roman" w:cs="Times New Roman"/>
          <w:sz w:val="24"/>
          <w:szCs w:val="24"/>
        </w:rPr>
        <w:t xml:space="preserve"> может стерилизовать ликвидность, сокращая ранее выданный кредит банковской системе. Когда объем эмиссии станет вопросом торга или «политической целесообразности», никаких ориентиров и соответственно доверия к макроэкономической политике не остается. Учитывая повышенные риски бегства капитала подобная политика почти наверняка будет сопровождаться  ограничением валютных операций. Таким образом будет заложено еще несколько кирпичей в стену, которая отгораживает Россию от других стран.</w:t>
      </w:r>
    </w:p>
    <w:p w14:paraId="180041F3" w14:textId="77777777" w:rsidR="00DB18EE" w:rsidRPr="00677B98" w:rsidRDefault="00DB18EE" w:rsidP="009310E6">
      <w:pPr>
        <w:spacing w:line="360" w:lineRule="auto"/>
        <w:ind w:firstLine="709"/>
        <w:jc w:val="both"/>
        <w:rPr>
          <w:rFonts w:ascii="Times New Roman" w:hAnsi="Times New Roman" w:cs="Times New Roman"/>
          <w:sz w:val="24"/>
          <w:szCs w:val="24"/>
        </w:rPr>
      </w:pPr>
      <w:r w:rsidRPr="00677B98">
        <w:rPr>
          <w:rFonts w:ascii="Times New Roman" w:hAnsi="Times New Roman" w:cs="Times New Roman"/>
          <w:sz w:val="24"/>
          <w:szCs w:val="24"/>
        </w:rPr>
        <w:t xml:space="preserve">Если в 2014-2015 гг. возможностей макроэкономической и в частности бюджетной политики еще хватало, чтобы поддерживать «стабильность» на фоне сокращения экспортной выручки, санкций и </w:t>
      </w:r>
      <w:proofErr w:type="spellStart"/>
      <w:r w:rsidRPr="00677B98">
        <w:rPr>
          <w:rFonts w:ascii="Times New Roman" w:hAnsi="Times New Roman" w:cs="Times New Roman"/>
          <w:sz w:val="24"/>
          <w:szCs w:val="24"/>
        </w:rPr>
        <w:t>контрсанкций</w:t>
      </w:r>
      <w:proofErr w:type="spellEnd"/>
      <w:r w:rsidRPr="00677B98">
        <w:rPr>
          <w:rFonts w:ascii="Times New Roman" w:hAnsi="Times New Roman" w:cs="Times New Roman"/>
          <w:sz w:val="24"/>
          <w:szCs w:val="24"/>
        </w:rPr>
        <w:t>, то сейчас запас прочности уже практически исчерпан. Предстоит тяжелый выбор между жизненными интересами широких групп населения и частного бизнеса</w:t>
      </w:r>
      <w:r>
        <w:rPr>
          <w:rFonts w:ascii="Times New Roman" w:hAnsi="Times New Roman" w:cs="Times New Roman"/>
          <w:sz w:val="24"/>
          <w:szCs w:val="24"/>
        </w:rPr>
        <w:t>.</w:t>
      </w:r>
      <w:r w:rsidRPr="00677B98">
        <w:rPr>
          <w:rFonts w:ascii="Times New Roman" w:hAnsi="Times New Roman" w:cs="Times New Roman"/>
          <w:sz w:val="24"/>
          <w:szCs w:val="24"/>
        </w:rPr>
        <w:t xml:space="preserve"> Если при этом крупнейшие </w:t>
      </w:r>
      <w:proofErr w:type="spellStart"/>
      <w:r w:rsidRPr="00677B98">
        <w:rPr>
          <w:rFonts w:ascii="Times New Roman" w:hAnsi="Times New Roman" w:cs="Times New Roman"/>
          <w:sz w:val="24"/>
          <w:szCs w:val="24"/>
        </w:rPr>
        <w:t>госкорпорации</w:t>
      </w:r>
      <w:proofErr w:type="spellEnd"/>
      <w:r w:rsidRPr="00677B98">
        <w:rPr>
          <w:rFonts w:ascii="Times New Roman" w:hAnsi="Times New Roman" w:cs="Times New Roman"/>
          <w:sz w:val="24"/>
          <w:szCs w:val="24"/>
        </w:rPr>
        <w:t xml:space="preserve">, оборонное лобби и аффилированные с государством подрядчики не будут готовы уступать свои позиции, </w:t>
      </w:r>
      <w:r>
        <w:rPr>
          <w:rFonts w:ascii="Times New Roman" w:hAnsi="Times New Roman" w:cs="Times New Roman"/>
          <w:sz w:val="24"/>
          <w:szCs w:val="24"/>
        </w:rPr>
        <w:t xml:space="preserve">включение эмиссионных механизмов позволит потянуть время, но </w:t>
      </w:r>
      <w:r w:rsidRPr="00F36651">
        <w:rPr>
          <w:rFonts w:ascii="Times New Roman" w:hAnsi="Times New Roman" w:cs="Times New Roman"/>
          <w:b/>
          <w:sz w:val="24"/>
          <w:szCs w:val="24"/>
        </w:rPr>
        <w:t>макроэкономические риски сделает</w:t>
      </w:r>
      <w:r>
        <w:rPr>
          <w:rFonts w:ascii="Times New Roman" w:hAnsi="Times New Roman" w:cs="Times New Roman"/>
          <w:sz w:val="24"/>
          <w:szCs w:val="24"/>
        </w:rPr>
        <w:t xml:space="preserve"> </w:t>
      </w:r>
      <w:r w:rsidRPr="00F36651">
        <w:rPr>
          <w:rFonts w:ascii="Times New Roman" w:hAnsi="Times New Roman" w:cs="Times New Roman"/>
          <w:b/>
          <w:sz w:val="24"/>
          <w:szCs w:val="24"/>
        </w:rPr>
        <w:t>неприемлемыми</w:t>
      </w:r>
      <w:r w:rsidRPr="00677B98">
        <w:rPr>
          <w:rFonts w:ascii="Times New Roman" w:hAnsi="Times New Roman" w:cs="Times New Roman"/>
          <w:sz w:val="24"/>
          <w:szCs w:val="24"/>
        </w:rPr>
        <w:t>.</w:t>
      </w:r>
    </w:p>
    <w:p w14:paraId="0F23B5B6" w14:textId="77777777" w:rsidR="006E58F3" w:rsidRDefault="006E58F3" w:rsidP="00CE2F2A">
      <w:pPr>
        <w:spacing w:line="360" w:lineRule="auto"/>
        <w:ind w:firstLine="709"/>
        <w:jc w:val="both"/>
        <w:rPr>
          <w:rFonts w:ascii="Times New Roman" w:hAnsi="Times New Roman" w:cs="Times New Roman"/>
          <w:b/>
          <w:sz w:val="26"/>
          <w:szCs w:val="26"/>
        </w:rPr>
      </w:pPr>
    </w:p>
    <w:p w14:paraId="37D8D6C8" w14:textId="16352045" w:rsidR="00CE2F2A" w:rsidRPr="006E58F3" w:rsidRDefault="006E58F3" w:rsidP="00CE2F2A">
      <w:pPr>
        <w:spacing w:line="360" w:lineRule="auto"/>
        <w:ind w:firstLine="709"/>
        <w:jc w:val="both"/>
        <w:rPr>
          <w:rFonts w:ascii="Times New Roman" w:hAnsi="Times New Roman" w:cs="Times New Roman"/>
          <w:b/>
          <w:sz w:val="26"/>
          <w:szCs w:val="26"/>
        </w:rPr>
      </w:pPr>
      <w:r w:rsidRPr="006E58F3">
        <w:rPr>
          <w:rFonts w:ascii="Times New Roman" w:hAnsi="Times New Roman" w:cs="Times New Roman"/>
          <w:b/>
          <w:sz w:val="26"/>
          <w:szCs w:val="26"/>
        </w:rPr>
        <w:t xml:space="preserve">4.3. </w:t>
      </w:r>
      <w:r w:rsidR="00DB18EE" w:rsidRPr="006E58F3">
        <w:rPr>
          <w:rFonts w:ascii="Times New Roman" w:hAnsi="Times New Roman" w:cs="Times New Roman"/>
          <w:b/>
          <w:sz w:val="26"/>
          <w:szCs w:val="26"/>
        </w:rPr>
        <w:t>Социальные процессы.</w:t>
      </w:r>
    </w:p>
    <w:p w14:paraId="061BEED5" w14:textId="572C8EF9" w:rsidR="00EE50D7" w:rsidRDefault="00CE2F2A" w:rsidP="00CE2F2A">
      <w:pPr>
        <w:spacing w:line="360" w:lineRule="auto"/>
        <w:ind w:firstLine="709"/>
        <w:jc w:val="both"/>
        <w:rPr>
          <w:rFonts w:ascii="Times New Roman" w:hAnsi="Times New Roman" w:cs="Times New Roman"/>
          <w:sz w:val="24"/>
          <w:szCs w:val="24"/>
        </w:rPr>
      </w:pPr>
      <w:r w:rsidRPr="00546E78">
        <w:rPr>
          <w:rFonts w:ascii="Times New Roman" w:hAnsi="Times New Roman" w:cs="Times New Roman"/>
          <w:sz w:val="24"/>
          <w:szCs w:val="24"/>
        </w:rPr>
        <w:t xml:space="preserve">Процесс трансформации экономической модели будет сопровождаться существенными изменениями в ожиданиях и поведении населения. </w:t>
      </w:r>
      <w:r w:rsidR="00EE50D7">
        <w:rPr>
          <w:rFonts w:ascii="Times New Roman" w:hAnsi="Times New Roman" w:cs="Times New Roman"/>
          <w:sz w:val="24"/>
          <w:szCs w:val="24"/>
        </w:rPr>
        <w:t xml:space="preserve">Для населения существенными факторами являются трудовые доходы, пенсии, цены на потребительском рынке и социальные блага, гарантируемые государством. </w:t>
      </w:r>
      <w:r w:rsidR="009702FF">
        <w:rPr>
          <w:rFonts w:ascii="Times New Roman" w:hAnsi="Times New Roman" w:cs="Times New Roman"/>
          <w:sz w:val="24"/>
          <w:szCs w:val="24"/>
        </w:rPr>
        <w:t>Промежуточное положение занимают жилищно-коммунальные расходы – юридически они относятся к первой группе, а в реальности воспринимаются и населением (и вынужденными отвечать на это региональными властями) как часть социальных обязательств государства.</w:t>
      </w:r>
    </w:p>
    <w:p w14:paraId="0F60DCD2" w14:textId="65636C90" w:rsidR="00EE50D7" w:rsidRDefault="00EE50D7"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Трудовые доходы и пенсии уже в наибольшей степени пострадали от кризисного начала трансформации –</w:t>
      </w:r>
      <w:r w:rsidR="003322EA">
        <w:rPr>
          <w:rFonts w:ascii="Times New Roman" w:hAnsi="Times New Roman" w:cs="Times New Roman"/>
          <w:sz w:val="24"/>
          <w:szCs w:val="24"/>
        </w:rPr>
        <w:t xml:space="preserve"> их</w:t>
      </w:r>
      <w:r>
        <w:rPr>
          <w:rFonts w:ascii="Times New Roman" w:hAnsi="Times New Roman" w:cs="Times New Roman"/>
          <w:sz w:val="24"/>
          <w:szCs w:val="24"/>
        </w:rPr>
        <w:t xml:space="preserve"> падение </w:t>
      </w:r>
      <w:r w:rsidR="003322EA">
        <w:rPr>
          <w:rFonts w:ascii="Times New Roman" w:hAnsi="Times New Roman" w:cs="Times New Roman"/>
          <w:sz w:val="24"/>
          <w:szCs w:val="24"/>
        </w:rPr>
        <w:t xml:space="preserve">в </w:t>
      </w:r>
      <w:r>
        <w:rPr>
          <w:rFonts w:ascii="Times New Roman" w:hAnsi="Times New Roman" w:cs="Times New Roman"/>
          <w:sz w:val="24"/>
          <w:szCs w:val="24"/>
        </w:rPr>
        <w:t>реальн</w:t>
      </w:r>
      <w:r w:rsidR="003322EA">
        <w:rPr>
          <w:rFonts w:ascii="Times New Roman" w:hAnsi="Times New Roman" w:cs="Times New Roman"/>
          <w:sz w:val="24"/>
          <w:szCs w:val="24"/>
        </w:rPr>
        <w:t>ом</w:t>
      </w:r>
      <w:r>
        <w:rPr>
          <w:rFonts w:ascii="Times New Roman" w:hAnsi="Times New Roman" w:cs="Times New Roman"/>
          <w:sz w:val="24"/>
          <w:szCs w:val="24"/>
        </w:rPr>
        <w:t xml:space="preserve"> </w:t>
      </w:r>
      <w:r w:rsidR="003322EA">
        <w:rPr>
          <w:rFonts w:ascii="Times New Roman" w:hAnsi="Times New Roman" w:cs="Times New Roman"/>
          <w:sz w:val="24"/>
          <w:szCs w:val="24"/>
        </w:rPr>
        <w:t>выражении</w:t>
      </w:r>
      <w:r>
        <w:rPr>
          <w:rFonts w:ascii="Times New Roman" w:hAnsi="Times New Roman" w:cs="Times New Roman"/>
          <w:sz w:val="24"/>
          <w:szCs w:val="24"/>
        </w:rPr>
        <w:t xml:space="preserve"> составило 10-12%. По всей видимости, 2016 и 2017 годы принесут дополнительное падение доходов населен</w:t>
      </w:r>
      <w:r w:rsidR="009702FF">
        <w:rPr>
          <w:rFonts w:ascii="Times New Roman" w:hAnsi="Times New Roman" w:cs="Times New Roman"/>
          <w:sz w:val="24"/>
          <w:szCs w:val="24"/>
        </w:rPr>
        <w:t>ия еще на несколько процентных пунктов к уровню 2013 года.</w:t>
      </w:r>
    </w:p>
    <w:p w14:paraId="7A64373F" w14:textId="4AADD616" w:rsidR="00A87468" w:rsidRDefault="00A87468"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40% населения с наибольшими доходами пострадали более заметно. Дело в том, что часть их расходов является валютной</w:t>
      </w:r>
      <w:r w:rsidR="0007143B">
        <w:rPr>
          <w:rFonts w:ascii="Times New Roman" w:hAnsi="Times New Roman" w:cs="Times New Roman"/>
          <w:sz w:val="24"/>
          <w:szCs w:val="24"/>
        </w:rPr>
        <w:t xml:space="preserve"> (туризм, автомобили и товары длительного пользования), а доходы – в основном рублевыми</w:t>
      </w:r>
      <w:r>
        <w:rPr>
          <w:rFonts w:ascii="Times New Roman" w:hAnsi="Times New Roman" w:cs="Times New Roman"/>
          <w:sz w:val="24"/>
          <w:szCs w:val="24"/>
        </w:rPr>
        <w:t>. Соответственно, субъективное восприятие кризиса у них сильнее, чем у 60% населения, валютные расходы которых имеют случайный характер. Домохозяйства с наиболее высокими доходами в основной массе, однако, сохранили основные параметры своего образа жизни, перейдя в более низк</w:t>
      </w:r>
      <w:r w:rsidR="0007143B">
        <w:rPr>
          <w:rFonts w:ascii="Times New Roman" w:hAnsi="Times New Roman" w:cs="Times New Roman"/>
          <w:sz w:val="24"/>
          <w:szCs w:val="24"/>
        </w:rPr>
        <w:t>ие</w:t>
      </w:r>
      <w:r>
        <w:rPr>
          <w:rFonts w:ascii="Times New Roman" w:hAnsi="Times New Roman" w:cs="Times New Roman"/>
          <w:sz w:val="24"/>
          <w:szCs w:val="24"/>
        </w:rPr>
        <w:t xml:space="preserve"> ценов</w:t>
      </w:r>
      <w:r w:rsidR="0007143B">
        <w:rPr>
          <w:rFonts w:ascii="Times New Roman" w:hAnsi="Times New Roman" w:cs="Times New Roman"/>
          <w:sz w:val="24"/>
          <w:szCs w:val="24"/>
        </w:rPr>
        <w:t>ые</w:t>
      </w:r>
      <w:r>
        <w:rPr>
          <w:rFonts w:ascii="Times New Roman" w:hAnsi="Times New Roman" w:cs="Times New Roman"/>
          <w:sz w:val="24"/>
          <w:szCs w:val="24"/>
        </w:rPr>
        <w:t xml:space="preserve"> групп</w:t>
      </w:r>
      <w:r w:rsidR="0007143B">
        <w:rPr>
          <w:rFonts w:ascii="Times New Roman" w:hAnsi="Times New Roman" w:cs="Times New Roman"/>
          <w:sz w:val="24"/>
          <w:szCs w:val="24"/>
        </w:rPr>
        <w:t>ы</w:t>
      </w:r>
      <w:r>
        <w:rPr>
          <w:rFonts w:ascii="Times New Roman" w:hAnsi="Times New Roman" w:cs="Times New Roman"/>
          <w:sz w:val="24"/>
          <w:szCs w:val="24"/>
        </w:rPr>
        <w:t xml:space="preserve"> товаров и услуг. Это показатель </w:t>
      </w:r>
      <w:r w:rsidR="00074362">
        <w:rPr>
          <w:rFonts w:ascii="Times New Roman" w:hAnsi="Times New Roman" w:cs="Times New Roman"/>
          <w:sz w:val="24"/>
          <w:szCs w:val="24"/>
        </w:rPr>
        <w:t xml:space="preserve">неожиданно </w:t>
      </w:r>
      <w:r>
        <w:rPr>
          <w:rFonts w:ascii="Times New Roman" w:hAnsi="Times New Roman" w:cs="Times New Roman"/>
          <w:sz w:val="24"/>
          <w:szCs w:val="24"/>
        </w:rPr>
        <w:t xml:space="preserve">высокого </w:t>
      </w:r>
      <w:r w:rsidR="00074362">
        <w:rPr>
          <w:rFonts w:ascii="Times New Roman" w:hAnsi="Times New Roman" w:cs="Times New Roman"/>
          <w:sz w:val="24"/>
          <w:szCs w:val="24"/>
        </w:rPr>
        <w:t>качества</w:t>
      </w:r>
      <w:r>
        <w:rPr>
          <w:rFonts w:ascii="Times New Roman" w:hAnsi="Times New Roman" w:cs="Times New Roman"/>
          <w:sz w:val="24"/>
          <w:szCs w:val="24"/>
        </w:rPr>
        <w:t xml:space="preserve"> рынка </w:t>
      </w:r>
      <w:r w:rsidR="0007143B">
        <w:rPr>
          <w:rFonts w:ascii="Times New Roman" w:hAnsi="Times New Roman" w:cs="Times New Roman"/>
          <w:sz w:val="24"/>
          <w:szCs w:val="24"/>
        </w:rPr>
        <w:t>потребительских товаров и услуг в России – он сумел адаптироваться к ценовому шоку от девальвации рубля и сохранил абсолютное большинство потребителей</w:t>
      </w:r>
      <w:r w:rsidR="0007143B">
        <w:rPr>
          <w:rStyle w:val="af"/>
          <w:rFonts w:ascii="Times New Roman" w:hAnsi="Times New Roman" w:cs="Times New Roman"/>
          <w:sz w:val="24"/>
          <w:szCs w:val="24"/>
        </w:rPr>
        <w:footnoteReference w:id="11"/>
      </w:r>
      <w:r w:rsidR="0007143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60A85DF" w14:textId="2EFFC779" w:rsidR="00074362" w:rsidRDefault="00074362"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Если ценовой (инфляционный) шок на рынках потребительских товаров и торгуемых услуг уже состоялся, пережит населением, то в сфере социальных благ, предоставляемых (гарантируемых) государством</w:t>
      </w:r>
      <w:r w:rsidR="00EF2373">
        <w:rPr>
          <w:rFonts w:ascii="Times New Roman" w:hAnsi="Times New Roman" w:cs="Times New Roman"/>
          <w:sz w:val="24"/>
          <w:szCs w:val="24"/>
        </w:rPr>
        <w:t>,</w:t>
      </w:r>
      <w:r>
        <w:rPr>
          <w:rFonts w:ascii="Times New Roman" w:hAnsi="Times New Roman" w:cs="Times New Roman"/>
          <w:sz w:val="24"/>
          <w:szCs w:val="24"/>
        </w:rPr>
        <w:t xml:space="preserve"> негативные процессы будут продолжаться. </w:t>
      </w:r>
    </w:p>
    <w:p w14:paraId="07F2DE00" w14:textId="319A7204" w:rsidR="002B4BBF" w:rsidRPr="009310E6" w:rsidRDefault="00074362"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мы отмечали выше, в связи с бюджетным кризисом и стагнацией или очень низким ростом экономики максимум, на что может рассчитывать социальная сфера – это сохранение номинального финансирования. Таким образом, в ближайшие 5 лет мы будем вынуждены иметь дело с </w:t>
      </w:r>
      <w:r w:rsidRPr="009310E6">
        <w:rPr>
          <w:rFonts w:ascii="Times New Roman" w:hAnsi="Times New Roman" w:cs="Times New Roman"/>
          <w:b/>
          <w:sz w:val="24"/>
          <w:szCs w:val="24"/>
        </w:rPr>
        <w:t>постепенным обесценением социальных обязательств государства</w:t>
      </w:r>
      <w:r w:rsidR="002B4BBF">
        <w:rPr>
          <w:rFonts w:ascii="Times New Roman" w:hAnsi="Times New Roman" w:cs="Times New Roman"/>
          <w:b/>
          <w:sz w:val="24"/>
          <w:szCs w:val="24"/>
        </w:rPr>
        <w:t xml:space="preserve">. </w:t>
      </w:r>
      <w:r w:rsidR="000F6FE4" w:rsidRPr="009310E6">
        <w:rPr>
          <w:rFonts w:ascii="Times New Roman" w:hAnsi="Times New Roman" w:cs="Times New Roman"/>
          <w:sz w:val="24"/>
          <w:szCs w:val="24"/>
        </w:rPr>
        <w:t>По нашим оценкам, падение финансирования социальной сферы в реальном выражении к 2018 году составит 30-35%, то есть фактически вернет ее ресурсное обеспечение к состоянию 2006 года.</w:t>
      </w:r>
    </w:p>
    <w:p w14:paraId="357FED1C" w14:textId="40373707" w:rsidR="002B4BBF" w:rsidRDefault="002B4BBF" w:rsidP="002B4BBF">
      <w:pPr>
        <w:spacing w:line="360" w:lineRule="auto"/>
        <w:ind w:firstLine="709"/>
        <w:jc w:val="both"/>
        <w:rPr>
          <w:rFonts w:ascii="Times New Roman" w:hAnsi="Times New Roman" w:cs="Times New Roman"/>
          <w:sz w:val="24"/>
          <w:szCs w:val="24"/>
        </w:rPr>
      </w:pPr>
      <w:r w:rsidRPr="009310E6">
        <w:rPr>
          <w:rFonts w:ascii="Times New Roman" w:hAnsi="Times New Roman" w:cs="Times New Roman"/>
          <w:sz w:val="24"/>
          <w:szCs w:val="24"/>
        </w:rPr>
        <w:t>Мы уже предположили, что наиболее вероятный сценарий социально-экономической политики – это сценарий инерционный, сценарий «цепляния за старые институты».</w:t>
      </w:r>
      <w:r w:rsidR="00074362" w:rsidRPr="002B4BBF">
        <w:rPr>
          <w:rFonts w:ascii="Times New Roman" w:hAnsi="Times New Roman" w:cs="Times New Roman"/>
          <w:sz w:val="24"/>
          <w:szCs w:val="24"/>
        </w:rPr>
        <w:t xml:space="preserve"> </w:t>
      </w:r>
      <w:r>
        <w:rPr>
          <w:rFonts w:ascii="Times New Roman" w:hAnsi="Times New Roman" w:cs="Times New Roman"/>
          <w:sz w:val="24"/>
          <w:szCs w:val="24"/>
        </w:rPr>
        <w:t>Рассмотрим, каким в рамках инерционного сценария может быть поведение в</w:t>
      </w:r>
      <w:r w:rsidR="00CE2F2A">
        <w:rPr>
          <w:rFonts w:ascii="Times New Roman" w:hAnsi="Times New Roman" w:cs="Times New Roman"/>
          <w:sz w:val="24"/>
          <w:szCs w:val="24"/>
        </w:rPr>
        <w:t>ысокодоходны</w:t>
      </w:r>
      <w:r>
        <w:rPr>
          <w:rFonts w:ascii="Times New Roman" w:hAnsi="Times New Roman" w:cs="Times New Roman"/>
          <w:sz w:val="24"/>
          <w:szCs w:val="24"/>
        </w:rPr>
        <w:t>х</w:t>
      </w:r>
      <w:r w:rsidR="00CE2F2A">
        <w:rPr>
          <w:rFonts w:ascii="Times New Roman" w:hAnsi="Times New Roman" w:cs="Times New Roman"/>
          <w:sz w:val="24"/>
          <w:szCs w:val="24"/>
        </w:rPr>
        <w:t xml:space="preserve"> и </w:t>
      </w:r>
      <w:r>
        <w:rPr>
          <w:rFonts w:ascii="Times New Roman" w:hAnsi="Times New Roman" w:cs="Times New Roman"/>
          <w:sz w:val="24"/>
          <w:szCs w:val="24"/>
        </w:rPr>
        <w:t xml:space="preserve">низкодоходных </w:t>
      </w:r>
      <w:r w:rsidR="00CE2F2A">
        <w:rPr>
          <w:rFonts w:ascii="Times New Roman" w:hAnsi="Times New Roman" w:cs="Times New Roman"/>
          <w:sz w:val="24"/>
          <w:szCs w:val="24"/>
        </w:rPr>
        <w:t>групп</w:t>
      </w:r>
      <w:r w:rsidR="00CE2F2A" w:rsidRPr="00546E78">
        <w:rPr>
          <w:rFonts w:ascii="Times New Roman" w:hAnsi="Times New Roman" w:cs="Times New Roman"/>
          <w:sz w:val="24"/>
          <w:szCs w:val="24"/>
        </w:rPr>
        <w:t xml:space="preserve"> населения</w:t>
      </w:r>
      <w:r>
        <w:rPr>
          <w:rFonts w:ascii="Times New Roman" w:hAnsi="Times New Roman" w:cs="Times New Roman"/>
          <w:sz w:val="24"/>
          <w:szCs w:val="24"/>
        </w:rPr>
        <w:t>. Они</w:t>
      </w:r>
      <w:r w:rsidR="00CE2F2A" w:rsidRPr="00546E78">
        <w:rPr>
          <w:rFonts w:ascii="Times New Roman" w:hAnsi="Times New Roman" w:cs="Times New Roman"/>
          <w:sz w:val="24"/>
          <w:szCs w:val="24"/>
        </w:rPr>
        <w:t xml:space="preserve"> по-разному реагируют на вызов, связанный с обесценением социальных обязательств государства, которое не только стеснено в ресурсах, но и пока еще предоставляет избыточные (с точки зрения охвата доходных групп) социальные гарантии.</w:t>
      </w:r>
      <w:r w:rsidR="00CE2F2A">
        <w:rPr>
          <w:rFonts w:ascii="Times New Roman" w:hAnsi="Times New Roman" w:cs="Times New Roman"/>
          <w:sz w:val="24"/>
          <w:szCs w:val="24"/>
        </w:rPr>
        <w:t xml:space="preserve"> </w:t>
      </w:r>
    </w:p>
    <w:p w14:paraId="1C681588" w14:textId="2146D219" w:rsidR="002B4BBF" w:rsidRDefault="002B4BBF"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Итак, основный сценарий: государство до 201</w:t>
      </w:r>
      <w:r w:rsidR="003322EA">
        <w:rPr>
          <w:rFonts w:ascii="Times New Roman" w:hAnsi="Times New Roman" w:cs="Times New Roman"/>
          <w:sz w:val="24"/>
          <w:szCs w:val="24"/>
        </w:rPr>
        <w:t>8</w:t>
      </w:r>
      <w:r>
        <w:rPr>
          <w:rFonts w:ascii="Times New Roman" w:hAnsi="Times New Roman" w:cs="Times New Roman"/>
          <w:sz w:val="24"/>
          <w:szCs w:val="24"/>
        </w:rPr>
        <w:t xml:space="preserve"> года сохраняет принцип бесплатного предоставления социальных благ через государственные и муниципальные учреждения (а солидарные пенсии – через Пенсионный фонд). При этом с большой вероятностью  </w:t>
      </w:r>
      <w:r w:rsidR="00B06B58">
        <w:rPr>
          <w:rFonts w:ascii="Times New Roman" w:hAnsi="Times New Roman" w:cs="Times New Roman"/>
          <w:sz w:val="24"/>
          <w:szCs w:val="24"/>
        </w:rPr>
        <w:t xml:space="preserve">можно ожидать повышения пенсионного возраста (в зависимости от бюджетной ситуации – резкого или </w:t>
      </w:r>
      <w:proofErr w:type="spellStart"/>
      <w:r w:rsidR="00B06B58">
        <w:rPr>
          <w:rFonts w:ascii="Times New Roman" w:hAnsi="Times New Roman" w:cs="Times New Roman"/>
          <w:sz w:val="24"/>
          <w:szCs w:val="24"/>
        </w:rPr>
        <w:t>градуалистского</w:t>
      </w:r>
      <w:proofErr w:type="spellEnd"/>
      <w:r w:rsidR="00B06B58">
        <w:rPr>
          <w:rFonts w:ascii="Times New Roman" w:hAnsi="Times New Roman" w:cs="Times New Roman"/>
          <w:sz w:val="24"/>
          <w:szCs w:val="24"/>
        </w:rPr>
        <w:t xml:space="preserve">), отказа от индексации пенсии работающим пенсионерам и исключения наиболее очевидных случаев «поддержки </w:t>
      </w:r>
      <w:proofErr w:type="spellStart"/>
      <w:r w:rsidR="00B06B58">
        <w:rPr>
          <w:rFonts w:ascii="Times New Roman" w:hAnsi="Times New Roman" w:cs="Times New Roman"/>
          <w:sz w:val="24"/>
          <w:szCs w:val="24"/>
        </w:rPr>
        <w:t>ненуждающихся</w:t>
      </w:r>
      <w:proofErr w:type="spellEnd"/>
      <w:r w:rsidR="00B06B58">
        <w:rPr>
          <w:rFonts w:ascii="Times New Roman" w:hAnsi="Times New Roman" w:cs="Times New Roman"/>
          <w:sz w:val="24"/>
          <w:szCs w:val="24"/>
        </w:rPr>
        <w:t xml:space="preserve">» (например, почти поголовных студенческих стипендий в 1000 рублей в месяц).  </w:t>
      </w:r>
    </w:p>
    <w:p w14:paraId="796586B3" w14:textId="01B529F5" w:rsidR="00B06B58" w:rsidRPr="000B4E50" w:rsidRDefault="00B06B58"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этом случае будет происходить постепенное снижение качества социальных благ (образование, здравоохранение, ЖКХ), предоставляемых сегодня государством. Уже к 2018 году этот процесс станет очевидным для абсолютного большинства граждан.</w:t>
      </w:r>
    </w:p>
    <w:p w14:paraId="06CBABE0" w14:textId="1ECCAFEF" w:rsidR="00EE672F" w:rsidRDefault="00CE2F2A" w:rsidP="00CE2F2A">
      <w:pPr>
        <w:spacing w:line="360" w:lineRule="auto"/>
        <w:ind w:firstLine="709"/>
        <w:jc w:val="both"/>
        <w:rPr>
          <w:rFonts w:ascii="Times New Roman" w:hAnsi="Times New Roman" w:cs="Times New Roman"/>
          <w:sz w:val="24"/>
          <w:szCs w:val="24"/>
        </w:rPr>
      </w:pPr>
      <w:r w:rsidRPr="00546E78">
        <w:rPr>
          <w:rFonts w:ascii="Times New Roman" w:hAnsi="Times New Roman" w:cs="Times New Roman"/>
          <w:sz w:val="24"/>
          <w:szCs w:val="24"/>
        </w:rPr>
        <w:t>По-видимому, учитывая социальную структуру населения, более обеспеченная группа лояльнее отнесется к сокращению бесплатных социальных гарантий, которыми и сейчас зачастую не пользуется</w:t>
      </w:r>
      <w:r w:rsidR="00EE672F">
        <w:rPr>
          <w:rFonts w:ascii="Times New Roman" w:hAnsi="Times New Roman" w:cs="Times New Roman"/>
          <w:sz w:val="24"/>
          <w:szCs w:val="24"/>
        </w:rPr>
        <w:t xml:space="preserve"> (помимо общеобразовательной школы)</w:t>
      </w:r>
      <w:r w:rsidRPr="00546E78">
        <w:rPr>
          <w:rFonts w:ascii="Times New Roman" w:hAnsi="Times New Roman" w:cs="Times New Roman"/>
          <w:sz w:val="24"/>
          <w:szCs w:val="24"/>
        </w:rPr>
        <w:t xml:space="preserve">, однако от более массовой группы населения следует в первую очередь ждать протестной «левой» реакции. </w:t>
      </w:r>
    </w:p>
    <w:p w14:paraId="2D8622C4" w14:textId="2348DB39" w:rsidR="00EE672F" w:rsidRDefault="00EE672F"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Противостоять массовым социальным требованиям, опирающимся на конституционные нормы, практически невозможно. Все, что может сделать в этом случае государство – это не допустить объединения «протеста клиентов» с «протестом профессионалов» - врачей, медсестер, учителей. Государство должно довести до результата обещанное в указах президента Путина 2012 года повышение зарплаты профессионалов-бюджетников. (Сейчас этот процесс фактически остановлен на полдороге). Это поможет предотвратить консолидацию протеста в 2018-2020 годах, который в противном случае </w:t>
      </w:r>
      <w:r w:rsidR="000B7829">
        <w:rPr>
          <w:rFonts w:ascii="Times New Roman" w:hAnsi="Times New Roman" w:cs="Times New Roman"/>
          <w:sz w:val="24"/>
          <w:szCs w:val="24"/>
        </w:rPr>
        <w:t>размоет</w:t>
      </w:r>
      <w:r>
        <w:rPr>
          <w:rFonts w:ascii="Times New Roman" w:hAnsi="Times New Roman" w:cs="Times New Roman"/>
          <w:sz w:val="24"/>
          <w:szCs w:val="24"/>
        </w:rPr>
        <w:t xml:space="preserve"> </w:t>
      </w:r>
      <w:r w:rsidR="000B7829">
        <w:rPr>
          <w:rFonts w:ascii="Times New Roman" w:hAnsi="Times New Roman" w:cs="Times New Roman"/>
          <w:sz w:val="24"/>
          <w:szCs w:val="24"/>
        </w:rPr>
        <w:t xml:space="preserve">базу </w:t>
      </w:r>
      <w:r>
        <w:rPr>
          <w:rFonts w:ascii="Times New Roman" w:hAnsi="Times New Roman" w:cs="Times New Roman"/>
          <w:sz w:val="24"/>
          <w:szCs w:val="24"/>
        </w:rPr>
        <w:t>социально-политическ</w:t>
      </w:r>
      <w:r w:rsidR="000B7829">
        <w:rPr>
          <w:rFonts w:ascii="Times New Roman" w:hAnsi="Times New Roman" w:cs="Times New Roman"/>
          <w:sz w:val="24"/>
          <w:szCs w:val="24"/>
        </w:rPr>
        <w:t>ой</w:t>
      </w:r>
      <w:r>
        <w:rPr>
          <w:rFonts w:ascii="Times New Roman" w:hAnsi="Times New Roman" w:cs="Times New Roman"/>
          <w:sz w:val="24"/>
          <w:szCs w:val="24"/>
        </w:rPr>
        <w:t xml:space="preserve"> поддержк</w:t>
      </w:r>
      <w:r w:rsidR="000B7829">
        <w:rPr>
          <w:rFonts w:ascii="Times New Roman" w:hAnsi="Times New Roman" w:cs="Times New Roman"/>
          <w:sz w:val="24"/>
          <w:szCs w:val="24"/>
        </w:rPr>
        <w:t>и</w:t>
      </w:r>
      <w:r>
        <w:rPr>
          <w:rFonts w:ascii="Times New Roman" w:hAnsi="Times New Roman" w:cs="Times New Roman"/>
          <w:sz w:val="24"/>
          <w:szCs w:val="24"/>
        </w:rPr>
        <w:t xml:space="preserve"> </w:t>
      </w:r>
      <w:r w:rsidR="000B7829">
        <w:rPr>
          <w:rFonts w:ascii="Times New Roman" w:hAnsi="Times New Roman" w:cs="Times New Roman"/>
          <w:sz w:val="24"/>
          <w:szCs w:val="24"/>
        </w:rPr>
        <w:t>действующей</w:t>
      </w:r>
      <w:r>
        <w:rPr>
          <w:rFonts w:ascii="Times New Roman" w:hAnsi="Times New Roman" w:cs="Times New Roman"/>
          <w:sz w:val="24"/>
          <w:szCs w:val="24"/>
        </w:rPr>
        <w:t xml:space="preserve"> власти.</w:t>
      </w:r>
    </w:p>
    <w:p w14:paraId="14B47FF0" w14:textId="34F6D8A8" w:rsidR="00CE2F2A" w:rsidRDefault="00CE2F2A" w:rsidP="00CE2F2A">
      <w:pPr>
        <w:spacing w:line="360" w:lineRule="auto"/>
        <w:ind w:firstLine="709"/>
        <w:jc w:val="both"/>
        <w:rPr>
          <w:rFonts w:ascii="Times New Roman" w:hAnsi="Times New Roman" w:cs="Times New Roman"/>
          <w:sz w:val="24"/>
          <w:szCs w:val="24"/>
        </w:rPr>
      </w:pPr>
      <w:r w:rsidRPr="00546E78">
        <w:rPr>
          <w:rFonts w:ascii="Times New Roman" w:hAnsi="Times New Roman" w:cs="Times New Roman"/>
          <w:sz w:val="24"/>
          <w:szCs w:val="24"/>
        </w:rPr>
        <w:t xml:space="preserve">Вместе с тем, учитывая отсутствие необходимых ресурсов, </w:t>
      </w:r>
      <w:r w:rsidR="00420395">
        <w:rPr>
          <w:rFonts w:ascii="Times New Roman" w:hAnsi="Times New Roman" w:cs="Times New Roman"/>
          <w:sz w:val="24"/>
          <w:szCs w:val="24"/>
        </w:rPr>
        <w:t xml:space="preserve">способность </w:t>
      </w:r>
      <w:r w:rsidRPr="00546E78">
        <w:rPr>
          <w:rFonts w:ascii="Times New Roman" w:hAnsi="Times New Roman" w:cs="Times New Roman"/>
          <w:sz w:val="24"/>
          <w:szCs w:val="24"/>
        </w:rPr>
        <w:t>государств</w:t>
      </w:r>
      <w:r w:rsidR="00420395">
        <w:rPr>
          <w:rFonts w:ascii="Times New Roman" w:hAnsi="Times New Roman" w:cs="Times New Roman"/>
          <w:sz w:val="24"/>
          <w:szCs w:val="24"/>
        </w:rPr>
        <w:t>а</w:t>
      </w:r>
      <w:r w:rsidRPr="00546E78">
        <w:rPr>
          <w:rFonts w:ascii="Times New Roman" w:hAnsi="Times New Roman" w:cs="Times New Roman"/>
          <w:sz w:val="24"/>
          <w:szCs w:val="24"/>
        </w:rPr>
        <w:t xml:space="preserve"> идти на популярные уступки</w:t>
      </w:r>
      <w:r w:rsidR="00420395">
        <w:rPr>
          <w:rFonts w:ascii="Times New Roman" w:hAnsi="Times New Roman" w:cs="Times New Roman"/>
          <w:sz w:val="24"/>
          <w:szCs w:val="24"/>
        </w:rPr>
        <w:t xml:space="preserve"> </w:t>
      </w:r>
      <w:r w:rsidR="00B06B58">
        <w:rPr>
          <w:rFonts w:ascii="Times New Roman" w:hAnsi="Times New Roman" w:cs="Times New Roman"/>
          <w:sz w:val="24"/>
          <w:szCs w:val="24"/>
        </w:rPr>
        <w:t xml:space="preserve">будет </w:t>
      </w:r>
      <w:r w:rsidR="00420395">
        <w:rPr>
          <w:rFonts w:ascii="Times New Roman" w:hAnsi="Times New Roman" w:cs="Times New Roman"/>
          <w:sz w:val="24"/>
          <w:szCs w:val="24"/>
        </w:rPr>
        <w:t>крайне ограничена</w:t>
      </w:r>
      <w:r w:rsidRPr="00546E78">
        <w:rPr>
          <w:rFonts w:ascii="Times New Roman" w:hAnsi="Times New Roman" w:cs="Times New Roman"/>
          <w:sz w:val="24"/>
          <w:szCs w:val="24"/>
        </w:rPr>
        <w:t>. Это приведет к тому, что даже массовые группы населения будут</w:t>
      </w:r>
      <w:r>
        <w:rPr>
          <w:rFonts w:ascii="Times New Roman" w:hAnsi="Times New Roman" w:cs="Times New Roman"/>
          <w:sz w:val="24"/>
          <w:szCs w:val="24"/>
        </w:rPr>
        <w:t>,</w:t>
      </w:r>
      <w:r w:rsidRPr="00546E78">
        <w:rPr>
          <w:rFonts w:ascii="Times New Roman" w:hAnsi="Times New Roman" w:cs="Times New Roman"/>
          <w:sz w:val="24"/>
          <w:szCs w:val="24"/>
        </w:rPr>
        <w:t xml:space="preserve"> сохраняя </w:t>
      </w:r>
      <w:r w:rsidR="00420395">
        <w:rPr>
          <w:rFonts w:ascii="Times New Roman" w:hAnsi="Times New Roman" w:cs="Times New Roman"/>
          <w:sz w:val="24"/>
          <w:szCs w:val="24"/>
        </w:rPr>
        <w:t>требования восстановления государственного социального патернализма</w:t>
      </w:r>
      <w:r w:rsidRPr="00546E78">
        <w:rPr>
          <w:rFonts w:ascii="Times New Roman" w:hAnsi="Times New Roman" w:cs="Times New Roman"/>
          <w:sz w:val="24"/>
          <w:szCs w:val="24"/>
        </w:rPr>
        <w:t xml:space="preserve">, </w:t>
      </w:r>
      <w:r w:rsidR="00420395">
        <w:rPr>
          <w:rFonts w:ascii="Times New Roman" w:hAnsi="Times New Roman" w:cs="Times New Roman"/>
          <w:sz w:val="24"/>
          <w:szCs w:val="24"/>
        </w:rPr>
        <w:t>в реальности</w:t>
      </w:r>
      <w:r w:rsidRPr="00546E78">
        <w:rPr>
          <w:rFonts w:ascii="Times New Roman" w:hAnsi="Times New Roman" w:cs="Times New Roman"/>
          <w:sz w:val="24"/>
          <w:szCs w:val="24"/>
        </w:rPr>
        <w:t xml:space="preserve"> пытаться решать возникающие проблемы самостоятельно. Учитывая глубоко укоренившееся с советских времен представление о социальном государстве, «ножницы» между «левыми» лозунгами и «правым» поведением будут сохраняться еще долгое время.</w:t>
      </w:r>
    </w:p>
    <w:p w14:paraId="3D0EEA08" w14:textId="2014D91B" w:rsidR="000B7829" w:rsidRDefault="000B7829"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Начиная с 2017-2018 гг., домохозяйства начнут в возрастающей степени замещать недостающие в системах образования и здравоохранения ресурсы собственными средствами. Это может происходить как в апробированной в 90-е – начале 2000-х гг. «дикой форме» </w:t>
      </w:r>
      <w:r>
        <w:rPr>
          <w:rFonts w:ascii="Times New Roman" w:hAnsi="Times New Roman" w:cs="Times New Roman"/>
          <w:sz w:val="24"/>
          <w:szCs w:val="24"/>
        </w:rPr>
        <w:lastRenderedPageBreak/>
        <w:t xml:space="preserve">бытовой коррупции (граждане платят </w:t>
      </w:r>
      <w:r w:rsidR="006F21D9">
        <w:rPr>
          <w:rFonts w:ascii="Times New Roman" w:hAnsi="Times New Roman" w:cs="Times New Roman"/>
          <w:sz w:val="24"/>
          <w:szCs w:val="24"/>
        </w:rPr>
        <w:t xml:space="preserve">наличными </w:t>
      </w:r>
      <w:r>
        <w:rPr>
          <w:rFonts w:ascii="Times New Roman" w:hAnsi="Times New Roman" w:cs="Times New Roman"/>
          <w:sz w:val="24"/>
          <w:szCs w:val="24"/>
        </w:rPr>
        <w:t>за «особое отношение», фактически – за нормальное исполнение работником медицины или образования своих обязанностей)</w:t>
      </w:r>
      <w:r w:rsidR="006F21D9">
        <w:rPr>
          <w:rFonts w:ascii="Times New Roman" w:hAnsi="Times New Roman" w:cs="Times New Roman"/>
          <w:sz w:val="24"/>
          <w:szCs w:val="24"/>
        </w:rPr>
        <w:t xml:space="preserve">, - так и в «цивилизованной» форме, при благожелательном невмешательстве или даже одобрении государства. Примером последнего являются так называемые фонды развития школ, взносы в которые имеют практически обязательный характер (при моральном принуждении со стороны окружающих), а освобождение от них производится по решению родительского комитета. </w:t>
      </w:r>
      <w:r>
        <w:rPr>
          <w:rFonts w:ascii="Times New Roman" w:hAnsi="Times New Roman" w:cs="Times New Roman"/>
          <w:sz w:val="24"/>
          <w:szCs w:val="24"/>
        </w:rPr>
        <w:t xml:space="preserve">  </w:t>
      </w:r>
      <w:r w:rsidR="006F21D9">
        <w:rPr>
          <w:rFonts w:ascii="Times New Roman" w:hAnsi="Times New Roman" w:cs="Times New Roman"/>
          <w:sz w:val="24"/>
          <w:szCs w:val="24"/>
        </w:rPr>
        <w:t>Такие фонды успешно работают во многих регионах и сейчас.</w:t>
      </w:r>
    </w:p>
    <w:p w14:paraId="5AD9AA76" w14:textId="0D14CBFD" w:rsidR="006F21D9" w:rsidRDefault="006F21D9"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Негативным последствием инерционного сценария будет являться резкая дифференциация качества образования и медицины, доступных разным социальным слоям населения. Семьи, относящиеся к верхней половине среднего класса (15-20% населения, при этом практически полностью – жители крупных городов) будут формировать </w:t>
      </w:r>
      <w:r w:rsidR="000F6FE4">
        <w:rPr>
          <w:rFonts w:ascii="Times New Roman" w:hAnsi="Times New Roman" w:cs="Times New Roman"/>
          <w:sz w:val="24"/>
          <w:szCs w:val="24"/>
        </w:rPr>
        <w:t>«под себя» частные образовательные и медицинские сервисы повышенного качества. Опосредовано - через лучшую школьную подготовку – дети именно этих семей займут места в лучших университетах, монополизировав тем самым главные социальные лифты. Другими словами, будут подорваны те позитивные результаты социальной политики Путина, которые и сформировали базу его социально-политической поддержки.</w:t>
      </w:r>
    </w:p>
    <w:p w14:paraId="71E255CA" w14:textId="3156308C" w:rsidR="000F6FE4" w:rsidRDefault="0029486F"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можем констатировать, что </w:t>
      </w:r>
      <w:r w:rsidRPr="009310E6">
        <w:rPr>
          <w:rFonts w:ascii="Times New Roman" w:hAnsi="Times New Roman" w:cs="Times New Roman"/>
          <w:b/>
          <w:sz w:val="24"/>
          <w:szCs w:val="24"/>
        </w:rPr>
        <w:t>уже промежуточный итог инерционного сценария социальной политики – крайне неблагоприятный для власти</w:t>
      </w:r>
      <w:r>
        <w:rPr>
          <w:rFonts w:ascii="Times New Roman" w:hAnsi="Times New Roman" w:cs="Times New Roman"/>
          <w:sz w:val="24"/>
          <w:szCs w:val="24"/>
        </w:rPr>
        <w:t>.</w:t>
      </w:r>
      <w:r w:rsidR="000F6FE4">
        <w:rPr>
          <w:rFonts w:ascii="Times New Roman" w:hAnsi="Times New Roman" w:cs="Times New Roman"/>
          <w:sz w:val="24"/>
          <w:szCs w:val="24"/>
        </w:rPr>
        <w:t xml:space="preserve"> </w:t>
      </w:r>
      <w:r w:rsidR="00CE3FCE">
        <w:rPr>
          <w:rFonts w:ascii="Times New Roman" w:hAnsi="Times New Roman" w:cs="Times New Roman"/>
          <w:sz w:val="24"/>
          <w:szCs w:val="24"/>
        </w:rPr>
        <w:t>Понимание</w:t>
      </w:r>
      <w:r>
        <w:rPr>
          <w:rFonts w:ascii="Times New Roman" w:hAnsi="Times New Roman" w:cs="Times New Roman"/>
          <w:sz w:val="24"/>
          <w:szCs w:val="24"/>
        </w:rPr>
        <w:t xml:space="preserve"> этого </w:t>
      </w:r>
      <w:r w:rsidR="00CE3FCE">
        <w:rPr>
          <w:rFonts w:ascii="Times New Roman" w:hAnsi="Times New Roman" w:cs="Times New Roman"/>
          <w:sz w:val="24"/>
          <w:szCs w:val="24"/>
        </w:rPr>
        <w:t>риска</w:t>
      </w:r>
      <w:r>
        <w:rPr>
          <w:rFonts w:ascii="Times New Roman" w:hAnsi="Times New Roman" w:cs="Times New Roman"/>
          <w:sz w:val="24"/>
          <w:szCs w:val="24"/>
        </w:rPr>
        <w:t xml:space="preserve"> </w:t>
      </w:r>
      <w:r w:rsidR="000F6FE4">
        <w:rPr>
          <w:rFonts w:ascii="Times New Roman" w:hAnsi="Times New Roman" w:cs="Times New Roman"/>
          <w:sz w:val="24"/>
          <w:szCs w:val="24"/>
        </w:rPr>
        <w:t xml:space="preserve">может привести в тому, что будет реализован </w:t>
      </w:r>
      <w:r>
        <w:rPr>
          <w:rFonts w:ascii="Times New Roman" w:hAnsi="Times New Roman" w:cs="Times New Roman"/>
          <w:sz w:val="24"/>
          <w:szCs w:val="24"/>
        </w:rPr>
        <w:t xml:space="preserve">другой, </w:t>
      </w:r>
      <w:r w:rsidRPr="009310E6">
        <w:rPr>
          <w:rFonts w:ascii="Times New Roman" w:hAnsi="Times New Roman" w:cs="Times New Roman"/>
          <w:b/>
          <w:sz w:val="24"/>
          <w:szCs w:val="24"/>
        </w:rPr>
        <w:t>реформаторский сценарий</w:t>
      </w:r>
      <w:r>
        <w:rPr>
          <w:rFonts w:ascii="Times New Roman" w:hAnsi="Times New Roman" w:cs="Times New Roman"/>
          <w:sz w:val="24"/>
          <w:szCs w:val="24"/>
        </w:rPr>
        <w:t>.</w:t>
      </w:r>
      <w:r w:rsidR="00CE3FCE">
        <w:rPr>
          <w:rFonts w:ascii="Times New Roman" w:hAnsi="Times New Roman" w:cs="Times New Roman"/>
          <w:sz w:val="24"/>
          <w:szCs w:val="24"/>
        </w:rPr>
        <w:t xml:space="preserve"> </w:t>
      </w:r>
    </w:p>
    <w:p w14:paraId="1D1C8065" w14:textId="7F4EDE87" w:rsidR="0023383B" w:rsidRDefault="00104CF3"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Реформаторский сценарий основывается на создании </w:t>
      </w:r>
      <w:r w:rsidR="0023383B">
        <w:rPr>
          <w:rFonts w:ascii="Times New Roman" w:hAnsi="Times New Roman" w:cs="Times New Roman"/>
          <w:sz w:val="24"/>
          <w:szCs w:val="24"/>
        </w:rPr>
        <w:t xml:space="preserve">легитимных </w:t>
      </w:r>
      <w:r>
        <w:rPr>
          <w:rFonts w:ascii="Times New Roman" w:hAnsi="Times New Roman" w:cs="Times New Roman"/>
          <w:sz w:val="24"/>
          <w:szCs w:val="24"/>
        </w:rPr>
        <w:t xml:space="preserve">институтов </w:t>
      </w:r>
      <w:proofErr w:type="spellStart"/>
      <w:r w:rsidR="0023383B">
        <w:rPr>
          <w:rFonts w:ascii="Times New Roman" w:hAnsi="Times New Roman" w:cs="Times New Roman"/>
          <w:sz w:val="24"/>
          <w:szCs w:val="24"/>
        </w:rPr>
        <w:t>софинансирования</w:t>
      </w:r>
      <w:proofErr w:type="spellEnd"/>
      <w:r w:rsidR="0023383B">
        <w:rPr>
          <w:rFonts w:ascii="Times New Roman" w:hAnsi="Times New Roman" w:cs="Times New Roman"/>
          <w:sz w:val="24"/>
          <w:szCs w:val="24"/>
        </w:rPr>
        <w:t xml:space="preserve"> гражданами социальных благ. Эффективная работа таких институтов позволит в среднесрочном периоде избежать деградации качества образования и здравоохранения и сохранить равный доступ граждан к социальным благам.  </w:t>
      </w:r>
    </w:p>
    <w:p w14:paraId="529146F2" w14:textId="1762CA6F" w:rsidR="00CE3FCE" w:rsidRDefault="00CE3FCE"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Ключевые параметры реформаторского сценария:</w:t>
      </w:r>
    </w:p>
    <w:p w14:paraId="5729D12E" w14:textId="351FCC19" w:rsidR="00CE3FCE" w:rsidRDefault="00CE3FCE"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3383B">
        <w:rPr>
          <w:rFonts w:ascii="Times New Roman" w:hAnsi="Times New Roman" w:cs="Times New Roman"/>
          <w:sz w:val="24"/>
          <w:szCs w:val="24"/>
        </w:rPr>
        <w:t xml:space="preserve">Надо избежать растраты ресурсов на формальное предоставление фактически </w:t>
      </w:r>
      <w:proofErr w:type="spellStart"/>
      <w:r w:rsidR="0023383B">
        <w:rPr>
          <w:rFonts w:ascii="Times New Roman" w:hAnsi="Times New Roman" w:cs="Times New Roman"/>
          <w:sz w:val="24"/>
          <w:szCs w:val="24"/>
        </w:rPr>
        <w:t>невостребуемых</w:t>
      </w:r>
      <w:proofErr w:type="spellEnd"/>
      <w:r w:rsidR="0023383B">
        <w:rPr>
          <w:rFonts w:ascii="Times New Roman" w:hAnsi="Times New Roman" w:cs="Times New Roman"/>
          <w:sz w:val="24"/>
          <w:szCs w:val="24"/>
        </w:rPr>
        <w:t xml:space="preserve"> или несправедливых социальных благ и услуг. </w:t>
      </w:r>
      <w:r>
        <w:rPr>
          <w:rFonts w:ascii="Times New Roman" w:hAnsi="Times New Roman" w:cs="Times New Roman"/>
          <w:sz w:val="24"/>
          <w:szCs w:val="24"/>
        </w:rPr>
        <w:t>Переход на целевой характер социальной помощи, основанный на выявлении реально нуждающихся и предоставлении такой поддержки, которой будет достаточно для их социальной реабилитации. Это должно включать целевую поддержку одиноких пенсионеров, страдающих хроническими заболевани</w:t>
      </w:r>
      <w:r w:rsidR="00104CF3">
        <w:rPr>
          <w:rFonts w:ascii="Times New Roman" w:hAnsi="Times New Roman" w:cs="Times New Roman"/>
          <w:sz w:val="24"/>
          <w:szCs w:val="24"/>
        </w:rPr>
        <w:t>ями, целевую поддержку неполных семей с детьми (обеспечивающих полную социализацию детей) и др.</w:t>
      </w:r>
    </w:p>
    <w:p w14:paraId="16648590" w14:textId="77777777" w:rsidR="00104CF3" w:rsidRDefault="00104CF3"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Приоритетное развитие системы негосударственных пенсионных фондов, фондов ДМС, других форм социального накопления, основывающихся на собственных вкладах граждан. Национальная программа развития таких форм, включающая гарантирование их доходности со стороны уполномоченных государственных институтов.</w:t>
      </w:r>
    </w:p>
    <w:p w14:paraId="2CBBA79B" w14:textId="2BB2286A" w:rsidR="00104CF3" w:rsidRDefault="00104CF3"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Активное внедрение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гражданами социальных услуг при условии освобождения от такого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семей с низкими доходами</w:t>
      </w:r>
      <w:r w:rsidR="0023383B">
        <w:rPr>
          <w:rFonts w:ascii="Times New Roman" w:hAnsi="Times New Roman" w:cs="Times New Roman"/>
          <w:sz w:val="24"/>
          <w:szCs w:val="24"/>
        </w:rPr>
        <w:t xml:space="preserve"> (соответствующие платежи могут перечисляться </w:t>
      </w:r>
      <w:r w:rsidR="00E26600">
        <w:rPr>
          <w:rFonts w:ascii="Times New Roman" w:hAnsi="Times New Roman" w:cs="Times New Roman"/>
          <w:sz w:val="24"/>
          <w:szCs w:val="24"/>
        </w:rPr>
        <w:t>органами социальной помощи)</w:t>
      </w:r>
      <w:r>
        <w:rPr>
          <w:rFonts w:ascii="Times New Roman" w:hAnsi="Times New Roman" w:cs="Times New Roman"/>
          <w:sz w:val="24"/>
          <w:szCs w:val="24"/>
        </w:rPr>
        <w:t>. Работающи</w:t>
      </w:r>
      <w:r w:rsidR="00E26600">
        <w:rPr>
          <w:rFonts w:ascii="Times New Roman" w:hAnsi="Times New Roman" w:cs="Times New Roman"/>
          <w:sz w:val="24"/>
          <w:szCs w:val="24"/>
        </w:rPr>
        <w:t>й пример</w:t>
      </w:r>
      <w:r>
        <w:rPr>
          <w:rFonts w:ascii="Times New Roman" w:hAnsi="Times New Roman" w:cs="Times New Roman"/>
          <w:sz w:val="24"/>
          <w:szCs w:val="24"/>
        </w:rPr>
        <w:t xml:space="preserve"> реализации такой политики </w:t>
      </w:r>
      <w:r w:rsidR="00E26600">
        <w:rPr>
          <w:rFonts w:ascii="Times New Roman" w:hAnsi="Times New Roman" w:cs="Times New Roman"/>
          <w:sz w:val="24"/>
          <w:szCs w:val="24"/>
        </w:rPr>
        <w:t>–</w:t>
      </w:r>
      <w:r>
        <w:rPr>
          <w:rFonts w:ascii="Times New Roman" w:hAnsi="Times New Roman" w:cs="Times New Roman"/>
          <w:sz w:val="24"/>
          <w:szCs w:val="24"/>
        </w:rPr>
        <w:t xml:space="preserve"> </w:t>
      </w:r>
      <w:r w:rsidR="00E26600">
        <w:rPr>
          <w:rFonts w:ascii="Times New Roman" w:hAnsi="Times New Roman" w:cs="Times New Roman"/>
          <w:sz w:val="24"/>
          <w:szCs w:val="24"/>
        </w:rPr>
        <w:t>выделение «содержания детей» от образования и воспитания и финансирование этой услуги платежеспособными родителями.</w:t>
      </w:r>
    </w:p>
    <w:p w14:paraId="6CC52373" w14:textId="2EC33B6A" w:rsidR="00E26600" w:rsidRDefault="00E26600"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 Развитие конкуренции на рынках социальных услуг. Допуск на рынок и поддержка специализированных НКО и частных фирм с целью обеспечения их реальной конкуренции с государственными и муниципальными учреждениями. Это потребует создания механизмов компенсации действующего в настоящее время скрытого субсидирования «своих» учреждений – в первую очередь, в отношении наделения имуществом. Конкуренция не только приведет на рынок социальные блага более высокого качества, но и снизит цену этих благ для конечного потребителя.</w:t>
      </w:r>
    </w:p>
    <w:p w14:paraId="12CB27FA" w14:textId="52BCAD09" w:rsidR="00E26600" w:rsidRPr="009310E6" w:rsidRDefault="00FC4CCC" w:rsidP="00CE2F2A">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Ловуш</w:t>
      </w:r>
      <w:r w:rsidR="00E26600" w:rsidRPr="009310E6">
        <w:rPr>
          <w:rFonts w:ascii="Times New Roman" w:hAnsi="Times New Roman" w:cs="Times New Roman"/>
          <w:b/>
          <w:sz w:val="24"/>
          <w:szCs w:val="24"/>
        </w:rPr>
        <w:t>ка политики в отношении среднего класса.</w:t>
      </w:r>
    </w:p>
    <w:p w14:paraId="16C96CD4" w14:textId="58BA11F5" w:rsidR="00E26600" w:rsidRDefault="00FC4CCC"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мы уже отмечали, одним из ключевых достижений развития России в 21 веке </w:t>
      </w:r>
      <w:r w:rsidR="00EE3DF5">
        <w:rPr>
          <w:rFonts w:ascii="Times New Roman" w:hAnsi="Times New Roman" w:cs="Times New Roman"/>
          <w:sz w:val="24"/>
          <w:szCs w:val="24"/>
        </w:rPr>
        <w:t>стало</w:t>
      </w:r>
      <w:r>
        <w:rPr>
          <w:rFonts w:ascii="Times New Roman" w:hAnsi="Times New Roman" w:cs="Times New Roman"/>
          <w:sz w:val="24"/>
          <w:szCs w:val="24"/>
        </w:rPr>
        <w:t xml:space="preserve"> формирование многочисленного среднего класса. Именно с его активностью связаны сегодня надежды на успешное развитие страны, на нахождение Россией нового места в международном разделении труда.</w:t>
      </w:r>
    </w:p>
    <w:p w14:paraId="38F43AA6" w14:textId="42226C2A" w:rsidR="00EE3DF5" w:rsidRDefault="00EE3DF5"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Опора на средний класс составляет ядро сразу нескольких сценарных политик, охарактеризованных выше. Здесь мы хотели бы обратить внимание на конфликт политик, или  потенциальную институ</w:t>
      </w:r>
      <w:r w:rsidR="00EF2373">
        <w:rPr>
          <w:rFonts w:ascii="Times New Roman" w:hAnsi="Times New Roman" w:cs="Times New Roman"/>
          <w:sz w:val="24"/>
          <w:szCs w:val="24"/>
        </w:rPr>
        <w:t>циональную ловушку.</w:t>
      </w:r>
    </w:p>
    <w:p w14:paraId="754FD78A" w14:textId="3D9C5D5A" w:rsidR="00EE3DF5" w:rsidRDefault="00EE3DF5" w:rsidP="00CE2F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Потенциальная налоговая реформа (которая весьма вероятна в связи с исчерпанием других бюджетных источников) предполагает, что нагрузка на граждан, получающих повышенные доходы, значительно вырастет. </w:t>
      </w:r>
      <w:r w:rsidR="006F2A19">
        <w:rPr>
          <w:rFonts w:ascii="Times New Roman" w:hAnsi="Times New Roman" w:cs="Times New Roman"/>
          <w:sz w:val="24"/>
          <w:szCs w:val="24"/>
        </w:rPr>
        <w:t xml:space="preserve">Но это прямо конфликтует с возможностью развития новых социальных институтов, опирающихся на накопления или на добровольные вклады граждан. России, таким образом, через несколько лет предстоит сделать выбор между «справедливым рыночным хозяйством» - и эффективностью социальной сферы и, </w:t>
      </w:r>
      <w:r w:rsidR="00EF2373">
        <w:rPr>
          <w:rFonts w:ascii="Times New Roman" w:hAnsi="Times New Roman" w:cs="Times New Roman"/>
          <w:sz w:val="24"/>
          <w:szCs w:val="24"/>
        </w:rPr>
        <w:t xml:space="preserve">в </w:t>
      </w:r>
      <w:r w:rsidR="006F2A19">
        <w:rPr>
          <w:rFonts w:ascii="Times New Roman" w:hAnsi="Times New Roman" w:cs="Times New Roman"/>
          <w:sz w:val="24"/>
          <w:szCs w:val="24"/>
        </w:rPr>
        <w:t xml:space="preserve">конечном счете, более быстрым ростом.  Это непростой выбор – ведь ощущение </w:t>
      </w:r>
      <w:r w:rsidR="006F2A19">
        <w:rPr>
          <w:rFonts w:ascii="Times New Roman" w:hAnsi="Times New Roman" w:cs="Times New Roman"/>
          <w:sz w:val="24"/>
          <w:szCs w:val="24"/>
        </w:rPr>
        <w:lastRenderedPageBreak/>
        <w:t>справедливости общественного устройства есть ценность сама</w:t>
      </w:r>
      <w:r w:rsidR="00FB596A">
        <w:rPr>
          <w:rFonts w:ascii="Times New Roman" w:hAnsi="Times New Roman" w:cs="Times New Roman"/>
          <w:sz w:val="24"/>
          <w:szCs w:val="24"/>
        </w:rPr>
        <w:t xml:space="preserve"> по себе. И этого ощущения сегодня не хватает большинству граждан России.</w:t>
      </w:r>
      <w:r>
        <w:rPr>
          <w:rFonts w:ascii="Times New Roman" w:hAnsi="Times New Roman" w:cs="Times New Roman"/>
          <w:sz w:val="24"/>
          <w:szCs w:val="24"/>
        </w:rPr>
        <w:t xml:space="preserve"> </w:t>
      </w:r>
    </w:p>
    <w:p w14:paraId="60A64600" w14:textId="32B61439" w:rsidR="002754C6" w:rsidRPr="00EC0E2A" w:rsidRDefault="00EF2373" w:rsidP="00EF2373">
      <w:pPr>
        <w:spacing w:line="360" w:lineRule="auto"/>
        <w:ind w:firstLine="284"/>
        <w:jc w:val="both"/>
        <w:rPr>
          <w:rFonts w:ascii="Times New Roman" w:hAnsi="Times New Roman" w:cs="Times New Roman"/>
          <w:b/>
          <w:bCs/>
          <w:sz w:val="28"/>
          <w:szCs w:val="28"/>
        </w:rPr>
      </w:pPr>
      <w:r w:rsidRPr="00EC0E2A">
        <w:rPr>
          <w:rFonts w:ascii="Times New Roman" w:hAnsi="Times New Roman" w:cs="Times New Roman"/>
          <w:b/>
          <w:bCs/>
          <w:sz w:val="28"/>
          <w:szCs w:val="28"/>
        </w:rPr>
        <w:t xml:space="preserve">Часть 5. </w:t>
      </w:r>
      <w:r w:rsidR="002754C6" w:rsidRPr="00EC0E2A">
        <w:rPr>
          <w:rFonts w:ascii="Times New Roman" w:hAnsi="Times New Roman" w:cs="Times New Roman"/>
          <w:b/>
          <w:bCs/>
          <w:sz w:val="28"/>
          <w:szCs w:val="28"/>
        </w:rPr>
        <w:t>Политические контуры трансформации</w:t>
      </w:r>
    </w:p>
    <w:p w14:paraId="65D855D9" w14:textId="25DFEB21" w:rsidR="002754C6" w:rsidRPr="00EC0E2A" w:rsidRDefault="00EC0E2A" w:rsidP="00EC0E2A">
      <w:pPr>
        <w:spacing w:line="360" w:lineRule="auto"/>
        <w:ind w:firstLine="709"/>
        <w:jc w:val="both"/>
        <w:rPr>
          <w:rFonts w:ascii="Times New Roman" w:hAnsi="Times New Roman" w:cs="Times New Roman"/>
          <w:b/>
          <w:bCs/>
          <w:sz w:val="26"/>
          <w:szCs w:val="26"/>
        </w:rPr>
      </w:pPr>
      <w:r w:rsidRPr="00EC0E2A">
        <w:rPr>
          <w:rFonts w:ascii="Times New Roman" w:hAnsi="Times New Roman" w:cs="Times New Roman"/>
          <w:b/>
          <w:bCs/>
          <w:sz w:val="26"/>
          <w:szCs w:val="26"/>
        </w:rPr>
        <w:t xml:space="preserve">5.1. </w:t>
      </w:r>
      <w:r w:rsidR="002754C6" w:rsidRPr="00EC0E2A">
        <w:rPr>
          <w:rFonts w:ascii="Times New Roman" w:hAnsi="Times New Roman" w:cs="Times New Roman"/>
          <w:b/>
          <w:bCs/>
          <w:sz w:val="26"/>
          <w:szCs w:val="26"/>
        </w:rPr>
        <w:t>Сценарии 2012 года</w:t>
      </w:r>
    </w:p>
    <w:p w14:paraId="37625C98" w14:textId="44B024CE" w:rsidR="002754C6" w:rsidRDefault="00EC0E2A" w:rsidP="00EC0E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2012 г.</w:t>
      </w:r>
      <w:r w:rsidR="002754C6">
        <w:rPr>
          <w:rFonts w:ascii="Times New Roman" w:hAnsi="Times New Roman" w:cs="Times New Roman"/>
          <w:sz w:val="24"/>
          <w:szCs w:val="24"/>
        </w:rPr>
        <w:t xml:space="preserve"> в докладе к </w:t>
      </w:r>
      <w:r w:rsidR="002754C6">
        <w:rPr>
          <w:rFonts w:ascii="Times New Roman" w:hAnsi="Times New Roman" w:cs="Times New Roman"/>
          <w:sz w:val="24"/>
          <w:szCs w:val="24"/>
          <w:lang w:val="en-US"/>
        </w:rPr>
        <w:t>XIII</w:t>
      </w:r>
      <w:r w:rsidR="002754C6">
        <w:rPr>
          <w:rFonts w:ascii="Times New Roman" w:hAnsi="Times New Roman" w:cs="Times New Roman"/>
          <w:sz w:val="24"/>
          <w:szCs w:val="24"/>
        </w:rPr>
        <w:t xml:space="preserve"> Апрельской Конференции ВШЭ один из авторов настоящей работы</w:t>
      </w:r>
      <w:r w:rsidR="002754C6">
        <w:rPr>
          <w:rStyle w:val="af"/>
          <w:rFonts w:ascii="Times New Roman" w:hAnsi="Times New Roman" w:cs="Times New Roman"/>
          <w:sz w:val="24"/>
          <w:szCs w:val="24"/>
        </w:rPr>
        <w:footnoteReference w:id="12"/>
      </w:r>
      <w:r w:rsidR="002754C6">
        <w:rPr>
          <w:rFonts w:ascii="Times New Roman" w:hAnsi="Times New Roman" w:cs="Times New Roman"/>
          <w:sz w:val="24"/>
          <w:szCs w:val="24"/>
        </w:rPr>
        <w:t xml:space="preserve"> предложил три сценария дальнейшего развития событий в России:</w:t>
      </w:r>
    </w:p>
    <w:p w14:paraId="5387093C" w14:textId="0456E8CD" w:rsidR="002754C6" w:rsidRDefault="002754C6" w:rsidP="00EC0E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инерционный (</w:t>
      </w:r>
      <w:r w:rsidR="002E3EF2">
        <w:rPr>
          <w:rFonts w:ascii="Times New Roman" w:hAnsi="Times New Roman" w:cs="Times New Roman"/>
          <w:sz w:val="24"/>
          <w:szCs w:val="24"/>
        </w:rPr>
        <w:t>«</w:t>
      </w:r>
      <w:r>
        <w:rPr>
          <w:rFonts w:ascii="Times New Roman" w:hAnsi="Times New Roman" w:cs="Times New Roman"/>
          <w:sz w:val="24"/>
          <w:szCs w:val="24"/>
        </w:rPr>
        <w:t>модернизация сверху</w:t>
      </w:r>
      <w:r w:rsidR="002E3EF2">
        <w:rPr>
          <w:rFonts w:ascii="Times New Roman" w:hAnsi="Times New Roman" w:cs="Times New Roman"/>
          <w:sz w:val="24"/>
          <w:szCs w:val="24"/>
        </w:rPr>
        <w:t>»</w:t>
      </w:r>
      <w:r>
        <w:rPr>
          <w:rFonts w:ascii="Times New Roman" w:hAnsi="Times New Roman" w:cs="Times New Roman"/>
          <w:sz w:val="24"/>
          <w:szCs w:val="24"/>
        </w:rPr>
        <w:t xml:space="preserve">, тогда разговор о </w:t>
      </w:r>
      <w:r w:rsidR="002E3EF2">
        <w:rPr>
          <w:rFonts w:ascii="Times New Roman" w:hAnsi="Times New Roman" w:cs="Times New Roman"/>
          <w:sz w:val="24"/>
          <w:szCs w:val="24"/>
        </w:rPr>
        <w:t xml:space="preserve">такой </w:t>
      </w:r>
      <w:r>
        <w:rPr>
          <w:rFonts w:ascii="Times New Roman" w:hAnsi="Times New Roman" w:cs="Times New Roman"/>
          <w:sz w:val="24"/>
          <w:szCs w:val="24"/>
        </w:rPr>
        <w:t xml:space="preserve">модернизации был уместен более чем сейчас). Сегодня скорее можно говорить </w:t>
      </w:r>
      <w:r w:rsidR="002E3EF2">
        <w:rPr>
          <w:rFonts w:ascii="Times New Roman" w:hAnsi="Times New Roman" w:cs="Times New Roman"/>
          <w:sz w:val="24"/>
          <w:szCs w:val="24"/>
        </w:rPr>
        <w:t>об инерции как развитии с опорой на сложившиеся институты</w:t>
      </w:r>
      <w:r>
        <w:rPr>
          <w:rFonts w:ascii="Times New Roman" w:hAnsi="Times New Roman" w:cs="Times New Roman"/>
          <w:sz w:val="24"/>
          <w:szCs w:val="24"/>
        </w:rPr>
        <w:t>.</w:t>
      </w:r>
    </w:p>
    <w:p w14:paraId="7E7A30B7" w14:textId="332C39D2" w:rsidR="002754C6" w:rsidRDefault="002754C6" w:rsidP="00EC0E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решительный рывок (радикальные реформы </w:t>
      </w:r>
      <w:r w:rsidR="002E3EF2">
        <w:rPr>
          <w:rFonts w:ascii="Times New Roman" w:hAnsi="Times New Roman" w:cs="Times New Roman"/>
          <w:sz w:val="24"/>
          <w:szCs w:val="24"/>
        </w:rPr>
        <w:t>и переход к</w:t>
      </w:r>
      <w:r>
        <w:rPr>
          <w:rFonts w:ascii="Times New Roman" w:hAnsi="Times New Roman" w:cs="Times New Roman"/>
          <w:sz w:val="24"/>
          <w:szCs w:val="24"/>
        </w:rPr>
        <w:t xml:space="preserve"> </w:t>
      </w:r>
      <w:r w:rsidR="002E3EF2">
        <w:rPr>
          <w:rFonts w:ascii="Times New Roman" w:hAnsi="Times New Roman" w:cs="Times New Roman"/>
          <w:sz w:val="24"/>
          <w:szCs w:val="24"/>
        </w:rPr>
        <w:t>«</w:t>
      </w:r>
      <w:r>
        <w:rPr>
          <w:rFonts w:ascii="Times New Roman" w:hAnsi="Times New Roman" w:cs="Times New Roman"/>
          <w:sz w:val="24"/>
          <w:szCs w:val="24"/>
        </w:rPr>
        <w:t>модернизации снизу</w:t>
      </w:r>
      <w:r w:rsidR="002E3EF2">
        <w:rPr>
          <w:rFonts w:ascii="Times New Roman" w:hAnsi="Times New Roman" w:cs="Times New Roman"/>
          <w:sz w:val="24"/>
          <w:szCs w:val="24"/>
        </w:rPr>
        <w:t>»</w:t>
      </w:r>
      <w:r>
        <w:rPr>
          <w:rFonts w:ascii="Times New Roman" w:hAnsi="Times New Roman" w:cs="Times New Roman"/>
          <w:sz w:val="24"/>
          <w:szCs w:val="24"/>
        </w:rPr>
        <w:t xml:space="preserve">, </w:t>
      </w:r>
      <w:r w:rsidR="002E3EF2">
        <w:rPr>
          <w:rFonts w:ascii="Times New Roman" w:hAnsi="Times New Roman" w:cs="Times New Roman"/>
          <w:sz w:val="24"/>
          <w:szCs w:val="24"/>
        </w:rPr>
        <w:t>широкое задействование интересов бизнеса и среднего класса и опора на них</w:t>
      </w:r>
      <w:r>
        <w:rPr>
          <w:rFonts w:ascii="Times New Roman" w:hAnsi="Times New Roman" w:cs="Times New Roman"/>
          <w:sz w:val="24"/>
          <w:szCs w:val="24"/>
        </w:rPr>
        <w:t>);</w:t>
      </w:r>
    </w:p>
    <w:p w14:paraId="30ABC83B" w14:textId="3CE39C85" w:rsidR="002754C6" w:rsidRDefault="002754C6" w:rsidP="00EC0E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 постепенное развитие (вариант модернизации без рывков</w:t>
      </w:r>
      <w:r w:rsidR="002E3EF2">
        <w:rPr>
          <w:rFonts w:ascii="Times New Roman" w:hAnsi="Times New Roman" w:cs="Times New Roman"/>
          <w:sz w:val="24"/>
          <w:szCs w:val="24"/>
        </w:rPr>
        <w:t>, с сохранением социально-политического равновесия</w:t>
      </w:r>
      <w:r>
        <w:rPr>
          <w:rFonts w:ascii="Times New Roman" w:hAnsi="Times New Roman" w:cs="Times New Roman"/>
          <w:sz w:val="24"/>
          <w:szCs w:val="24"/>
        </w:rPr>
        <w:t>).</w:t>
      </w:r>
    </w:p>
    <w:p w14:paraId="492D3AB4" w14:textId="77777777" w:rsidR="002754C6" w:rsidRDefault="002754C6" w:rsidP="00EC0E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Сценарий всегда предполагает некий вариант политики и оценку ее последствий в течение определенного времени. В первой версии работа 2012 года готовилась как материал к программе «Стратегия 2020», которую формировали Российская академия народного хозяйства и государственной службы и Высшая школа экономики по заказу высокого руководства. В названном материале указанные сценарии были проработаны с оценкой последствий в два раунда каждый. Выводы для условий апреля 2012 г. были сделаны в пользу сценария постепенного развития.</w:t>
      </w:r>
    </w:p>
    <w:p w14:paraId="6157022A" w14:textId="7675D253" w:rsidR="002754C6" w:rsidRPr="00EC0E2A" w:rsidRDefault="00EC0E2A" w:rsidP="00EC0E2A">
      <w:pPr>
        <w:spacing w:line="360" w:lineRule="auto"/>
        <w:ind w:firstLine="709"/>
        <w:jc w:val="both"/>
        <w:rPr>
          <w:rFonts w:ascii="Times New Roman" w:hAnsi="Times New Roman" w:cs="Times New Roman"/>
          <w:b/>
          <w:bCs/>
          <w:sz w:val="26"/>
          <w:szCs w:val="26"/>
        </w:rPr>
      </w:pPr>
      <w:r w:rsidRPr="00EC0E2A">
        <w:rPr>
          <w:rFonts w:ascii="Times New Roman" w:hAnsi="Times New Roman" w:cs="Times New Roman"/>
          <w:b/>
          <w:bCs/>
          <w:sz w:val="26"/>
          <w:szCs w:val="26"/>
        </w:rPr>
        <w:t xml:space="preserve">5.2. </w:t>
      </w:r>
      <w:r w:rsidR="002754C6" w:rsidRPr="00EC0E2A">
        <w:rPr>
          <w:rFonts w:ascii="Times New Roman" w:hAnsi="Times New Roman" w:cs="Times New Roman"/>
          <w:b/>
          <w:bCs/>
          <w:sz w:val="26"/>
          <w:szCs w:val="26"/>
        </w:rPr>
        <w:t>Опрос экспертов</w:t>
      </w:r>
    </w:p>
    <w:p w14:paraId="61FAEF34" w14:textId="5F4FE13B" w:rsidR="002754C6" w:rsidRPr="00F36651" w:rsidRDefault="002754C6" w:rsidP="00EC0E2A">
      <w:pPr>
        <w:spacing w:line="360" w:lineRule="auto"/>
        <w:ind w:firstLine="709"/>
        <w:jc w:val="both"/>
        <w:rPr>
          <w:rFonts w:ascii="Times New Roman" w:hAnsi="Times New Roman" w:cs="Times New Roman"/>
          <w:sz w:val="24"/>
          <w:szCs w:val="24"/>
        </w:rPr>
      </w:pPr>
      <w:r w:rsidRPr="00154F24">
        <w:rPr>
          <w:rFonts w:ascii="Times New Roman" w:hAnsi="Times New Roman" w:cs="Times New Roman"/>
          <w:sz w:val="24"/>
          <w:szCs w:val="24"/>
        </w:rPr>
        <w:t xml:space="preserve">Чтобы оценить набор </w:t>
      </w:r>
      <w:r w:rsidR="00507B49">
        <w:rPr>
          <w:rFonts w:ascii="Times New Roman" w:hAnsi="Times New Roman" w:cs="Times New Roman"/>
          <w:sz w:val="24"/>
          <w:szCs w:val="24"/>
        </w:rPr>
        <w:t>рассмотренн</w:t>
      </w:r>
      <w:r w:rsidRPr="00154F24">
        <w:rPr>
          <w:rFonts w:ascii="Times New Roman" w:hAnsi="Times New Roman" w:cs="Times New Roman"/>
          <w:sz w:val="24"/>
          <w:szCs w:val="24"/>
        </w:rPr>
        <w:t xml:space="preserve">ых </w:t>
      </w:r>
      <w:r w:rsidR="00507B49">
        <w:rPr>
          <w:rFonts w:ascii="Times New Roman" w:hAnsi="Times New Roman" w:cs="Times New Roman"/>
          <w:sz w:val="24"/>
          <w:szCs w:val="24"/>
        </w:rPr>
        <w:t xml:space="preserve">в докладе </w:t>
      </w:r>
      <w:r w:rsidRPr="00154F24">
        <w:rPr>
          <w:rFonts w:ascii="Times New Roman" w:hAnsi="Times New Roman" w:cs="Times New Roman"/>
          <w:sz w:val="24"/>
          <w:szCs w:val="24"/>
        </w:rPr>
        <w:t xml:space="preserve">вариантов политики с точки зрения их вероятности и возможных последствий мы провели опрос экспертов, работающих в смежных областях экономики, социологии, политологии. </w:t>
      </w:r>
      <w:r>
        <w:rPr>
          <w:rFonts w:ascii="Times New Roman" w:hAnsi="Times New Roman" w:cs="Times New Roman"/>
          <w:sz w:val="24"/>
          <w:szCs w:val="24"/>
        </w:rPr>
        <w:t>Т</w:t>
      </w:r>
      <w:r w:rsidR="00EC0E2A">
        <w:rPr>
          <w:rFonts w:ascii="Times New Roman" w:hAnsi="Times New Roman" w:cs="Times New Roman"/>
          <w:sz w:val="24"/>
          <w:szCs w:val="24"/>
        </w:rPr>
        <w:t>аблица 5</w:t>
      </w:r>
      <w:r w:rsidRPr="00154F24">
        <w:rPr>
          <w:rFonts w:ascii="Times New Roman" w:hAnsi="Times New Roman" w:cs="Times New Roman"/>
          <w:sz w:val="24"/>
          <w:szCs w:val="24"/>
        </w:rPr>
        <w:t>.1. представляет собой также анкету. Число экспертов было небольшим (32 человека). Однако все они</w:t>
      </w:r>
      <w:r>
        <w:rPr>
          <w:rFonts w:ascii="Times New Roman" w:hAnsi="Times New Roman" w:cs="Times New Roman"/>
          <w:sz w:val="24"/>
          <w:szCs w:val="24"/>
        </w:rPr>
        <w:t xml:space="preserve"> квалифицированные люди</w:t>
      </w:r>
      <w:r w:rsidRPr="00154F24">
        <w:rPr>
          <w:rFonts w:ascii="Times New Roman" w:hAnsi="Times New Roman" w:cs="Times New Roman"/>
          <w:sz w:val="24"/>
          <w:szCs w:val="24"/>
        </w:rPr>
        <w:t>, представляющи</w:t>
      </w:r>
      <w:r>
        <w:rPr>
          <w:rFonts w:ascii="Times New Roman" w:hAnsi="Times New Roman" w:cs="Times New Roman"/>
          <w:sz w:val="24"/>
          <w:szCs w:val="24"/>
        </w:rPr>
        <w:t>е</w:t>
      </w:r>
      <w:r w:rsidRPr="00154F24">
        <w:rPr>
          <w:rFonts w:ascii="Times New Roman" w:hAnsi="Times New Roman" w:cs="Times New Roman"/>
          <w:sz w:val="24"/>
          <w:szCs w:val="24"/>
        </w:rPr>
        <w:t xml:space="preserve"> как академические организации, так и частный бизнес</w:t>
      </w:r>
      <w:r w:rsidR="00EC0E2A">
        <w:rPr>
          <w:rFonts w:ascii="Times New Roman" w:hAnsi="Times New Roman" w:cs="Times New Roman"/>
          <w:sz w:val="24"/>
          <w:szCs w:val="24"/>
        </w:rPr>
        <w:t>.</w:t>
      </w:r>
    </w:p>
    <w:p w14:paraId="72B797F2" w14:textId="77777777" w:rsidR="002754C6" w:rsidRPr="00F36651" w:rsidRDefault="002754C6" w:rsidP="00EC0E2A">
      <w:pPr>
        <w:spacing w:line="360" w:lineRule="auto"/>
        <w:ind w:firstLine="709"/>
        <w:jc w:val="both"/>
        <w:rPr>
          <w:rFonts w:ascii="Times New Roman" w:hAnsi="Times New Roman" w:cs="Times New Roman"/>
          <w:sz w:val="24"/>
          <w:szCs w:val="24"/>
        </w:rPr>
      </w:pPr>
      <w:r w:rsidRPr="00F36651">
        <w:rPr>
          <w:rFonts w:ascii="Times New Roman" w:hAnsi="Times New Roman" w:cs="Times New Roman"/>
          <w:sz w:val="24"/>
          <w:szCs w:val="24"/>
        </w:rPr>
        <w:t xml:space="preserve">Можно также провести массовый опрос, чтобы получить более представительные результаты. И мы попытаемся это сделать со временем. Но у нас есть убеждение, что охват </w:t>
      </w:r>
      <w:r w:rsidRPr="00F36651">
        <w:rPr>
          <w:rFonts w:ascii="Times New Roman" w:hAnsi="Times New Roman" w:cs="Times New Roman"/>
          <w:sz w:val="24"/>
          <w:szCs w:val="24"/>
        </w:rPr>
        <w:lastRenderedPageBreak/>
        <w:t>более широкого и разнообразного количества людей позволяет судить об их мнениях, настроениях, но не о том, чего можно ожидать. Небольшое число квалифицированных экспертов дает лучшие результаты относительно оценки вариантов политики и их последствий.</w:t>
      </w:r>
    </w:p>
    <w:p w14:paraId="084D1B00" w14:textId="5968F8AA" w:rsidR="002754C6" w:rsidRPr="00F36651" w:rsidRDefault="00EC0E2A" w:rsidP="00EC0E2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таблице 5</w:t>
      </w:r>
      <w:r w:rsidR="002754C6" w:rsidRPr="00F36651">
        <w:rPr>
          <w:rFonts w:ascii="Times New Roman" w:hAnsi="Times New Roman" w:cs="Times New Roman"/>
          <w:sz w:val="24"/>
          <w:szCs w:val="24"/>
        </w:rPr>
        <w:t>.1 приведен список оцениваемых вариантов политики, предложенных выше.  В столбцах 2 и 3 экспертам предложено оценить возможности выбора того или иного варианта по двум критериям: 1) вероятность выбора и 2) предпочтительность его с точки зрения эксперта для развития экономики.</w:t>
      </w:r>
    </w:p>
    <w:p w14:paraId="11117AB0" w14:textId="77777777" w:rsidR="002754C6" w:rsidRPr="00F36651" w:rsidRDefault="002754C6" w:rsidP="00EC0E2A">
      <w:pPr>
        <w:spacing w:line="360" w:lineRule="auto"/>
        <w:ind w:firstLine="709"/>
        <w:jc w:val="both"/>
        <w:rPr>
          <w:rFonts w:ascii="Times New Roman" w:hAnsi="Times New Roman" w:cs="Times New Roman"/>
          <w:sz w:val="24"/>
          <w:szCs w:val="24"/>
        </w:rPr>
      </w:pPr>
      <w:r w:rsidRPr="00F36651">
        <w:rPr>
          <w:rFonts w:ascii="Times New Roman" w:hAnsi="Times New Roman" w:cs="Times New Roman"/>
          <w:sz w:val="24"/>
          <w:szCs w:val="24"/>
        </w:rPr>
        <w:t>В столбце 5 приведены вероятности тех или иных последствий реализации оцениваемого варианта в течение 3-5 лет. В краткой анкете по каждому варианту предложено оценить три вида последствий его реализации для экономики: подъем (рост ВВП в среднем за год более +1%)</w:t>
      </w:r>
      <w:r>
        <w:rPr>
          <w:rFonts w:ascii="Times New Roman" w:hAnsi="Times New Roman" w:cs="Times New Roman"/>
          <w:sz w:val="24"/>
          <w:szCs w:val="24"/>
        </w:rPr>
        <w:t>,</w:t>
      </w:r>
      <w:r w:rsidRPr="00F36651">
        <w:rPr>
          <w:rFonts w:ascii="Times New Roman" w:hAnsi="Times New Roman" w:cs="Times New Roman"/>
          <w:sz w:val="24"/>
          <w:szCs w:val="24"/>
        </w:rPr>
        <w:t xml:space="preserve"> стагнация (колебания динамики ВВП на уровне, близком к нулевому росту (±1%), спад (снижение объема ВВП в среднем за год </w:t>
      </w:r>
      <w:r>
        <w:rPr>
          <w:rFonts w:ascii="Times New Roman" w:hAnsi="Times New Roman" w:cs="Times New Roman"/>
          <w:sz w:val="24"/>
          <w:szCs w:val="24"/>
        </w:rPr>
        <w:t xml:space="preserve">сильнее чем на </w:t>
      </w:r>
      <w:r w:rsidRPr="00F36651">
        <w:rPr>
          <w:rFonts w:ascii="Times New Roman" w:hAnsi="Times New Roman" w:cs="Times New Roman"/>
          <w:sz w:val="24"/>
          <w:szCs w:val="24"/>
        </w:rPr>
        <w:t>-1</w:t>
      </w:r>
      <w:r>
        <w:rPr>
          <w:rFonts w:ascii="Times New Roman" w:hAnsi="Times New Roman" w:cs="Times New Roman"/>
          <w:sz w:val="24"/>
          <w:szCs w:val="24"/>
        </w:rPr>
        <w:t>%</w:t>
      </w:r>
      <w:r w:rsidRPr="00F36651">
        <w:rPr>
          <w:rFonts w:ascii="Times New Roman" w:hAnsi="Times New Roman" w:cs="Times New Roman"/>
          <w:sz w:val="24"/>
          <w:szCs w:val="24"/>
        </w:rPr>
        <w:t xml:space="preserve">). Оценка последствий </w:t>
      </w:r>
      <w:r>
        <w:rPr>
          <w:rFonts w:ascii="Times New Roman" w:hAnsi="Times New Roman" w:cs="Times New Roman"/>
          <w:sz w:val="24"/>
          <w:szCs w:val="24"/>
        </w:rPr>
        <w:t>представлена</w:t>
      </w:r>
      <w:r w:rsidRPr="00F36651">
        <w:rPr>
          <w:rFonts w:ascii="Times New Roman" w:hAnsi="Times New Roman" w:cs="Times New Roman"/>
          <w:sz w:val="24"/>
          <w:szCs w:val="24"/>
        </w:rPr>
        <w:t xml:space="preserve"> мнениями о вероятности реализации каждого из этих исходов в течение 3-5 лет (</w:t>
      </w:r>
      <w:r>
        <w:rPr>
          <w:rFonts w:ascii="Times New Roman" w:hAnsi="Times New Roman" w:cs="Times New Roman"/>
          <w:sz w:val="24"/>
          <w:szCs w:val="24"/>
        </w:rPr>
        <w:t xml:space="preserve">столбец </w:t>
      </w:r>
      <w:r w:rsidRPr="00F36651">
        <w:rPr>
          <w:rFonts w:ascii="Times New Roman" w:hAnsi="Times New Roman" w:cs="Times New Roman"/>
          <w:sz w:val="24"/>
          <w:szCs w:val="24"/>
        </w:rPr>
        <w:t>5).</w:t>
      </w:r>
    </w:p>
    <w:p w14:paraId="669C6171" w14:textId="77777777" w:rsidR="002754C6" w:rsidRPr="00F36651" w:rsidRDefault="002754C6" w:rsidP="00EC0E2A">
      <w:pPr>
        <w:spacing w:line="360" w:lineRule="auto"/>
        <w:ind w:firstLine="709"/>
        <w:jc w:val="both"/>
        <w:rPr>
          <w:rFonts w:ascii="Times New Roman" w:hAnsi="Times New Roman" w:cs="Times New Roman"/>
          <w:sz w:val="24"/>
          <w:szCs w:val="24"/>
        </w:rPr>
      </w:pPr>
      <w:r w:rsidRPr="00F36651">
        <w:rPr>
          <w:rFonts w:ascii="Times New Roman" w:hAnsi="Times New Roman" w:cs="Times New Roman"/>
          <w:sz w:val="24"/>
          <w:szCs w:val="24"/>
        </w:rPr>
        <w:t>Опрос экспертов выявил для инерционного сценария вероятность выбора 45,3%</w:t>
      </w:r>
      <w:r>
        <w:rPr>
          <w:rFonts w:ascii="Times New Roman" w:hAnsi="Times New Roman" w:cs="Times New Roman"/>
          <w:sz w:val="24"/>
          <w:szCs w:val="24"/>
        </w:rPr>
        <w:t xml:space="preserve"> -</w:t>
      </w:r>
      <w:r w:rsidRPr="00F36651">
        <w:rPr>
          <w:rFonts w:ascii="Times New Roman" w:hAnsi="Times New Roman" w:cs="Times New Roman"/>
          <w:sz w:val="24"/>
          <w:szCs w:val="24"/>
        </w:rPr>
        <w:t xml:space="preserve"> почти половина. В то же время предпочтительность этого варианта эксперты оценили в 26%. Вероятность выбора примерно вдвое больше предпочтительности. </w:t>
      </w:r>
      <w:r>
        <w:rPr>
          <w:rFonts w:ascii="Times New Roman" w:hAnsi="Times New Roman" w:cs="Times New Roman"/>
          <w:sz w:val="24"/>
          <w:szCs w:val="24"/>
        </w:rPr>
        <w:t>Что касается</w:t>
      </w:r>
      <w:r w:rsidRPr="00F36651">
        <w:rPr>
          <w:rFonts w:ascii="Times New Roman" w:hAnsi="Times New Roman" w:cs="Times New Roman"/>
          <w:sz w:val="24"/>
          <w:szCs w:val="24"/>
        </w:rPr>
        <w:t xml:space="preserve"> последствий реализации этого варианта</w:t>
      </w:r>
      <w:r>
        <w:rPr>
          <w:rFonts w:ascii="Times New Roman" w:hAnsi="Times New Roman" w:cs="Times New Roman"/>
          <w:sz w:val="24"/>
          <w:szCs w:val="24"/>
        </w:rPr>
        <w:t>, то</w:t>
      </w:r>
      <w:r w:rsidRPr="00F36651">
        <w:rPr>
          <w:rFonts w:ascii="Times New Roman" w:hAnsi="Times New Roman" w:cs="Times New Roman"/>
          <w:sz w:val="24"/>
          <w:szCs w:val="24"/>
        </w:rPr>
        <w:t xml:space="preserve"> </w:t>
      </w:r>
      <w:r>
        <w:rPr>
          <w:rFonts w:ascii="Times New Roman" w:hAnsi="Times New Roman" w:cs="Times New Roman"/>
          <w:sz w:val="24"/>
          <w:szCs w:val="24"/>
        </w:rPr>
        <w:t xml:space="preserve">на первом месте по вероятности - </w:t>
      </w:r>
      <w:r w:rsidRPr="00F36651">
        <w:rPr>
          <w:rFonts w:ascii="Times New Roman" w:hAnsi="Times New Roman" w:cs="Times New Roman"/>
          <w:sz w:val="24"/>
          <w:szCs w:val="24"/>
        </w:rPr>
        <w:t>стагнация (53,6%),</w:t>
      </w:r>
      <w:r>
        <w:rPr>
          <w:rFonts w:ascii="Times New Roman" w:hAnsi="Times New Roman" w:cs="Times New Roman"/>
          <w:sz w:val="24"/>
          <w:szCs w:val="24"/>
        </w:rPr>
        <w:t xml:space="preserve"> </w:t>
      </w:r>
      <w:r w:rsidRPr="00F36651">
        <w:rPr>
          <w:rFonts w:ascii="Times New Roman" w:hAnsi="Times New Roman" w:cs="Times New Roman"/>
          <w:sz w:val="24"/>
          <w:szCs w:val="24"/>
        </w:rPr>
        <w:t xml:space="preserve">на втором месте - спад (35,2%). Таким образом </w:t>
      </w:r>
      <w:r>
        <w:rPr>
          <w:rFonts w:ascii="Times New Roman" w:hAnsi="Times New Roman" w:cs="Times New Roman"/>
          <w:sz w:val="24"/>
          <w:szCs w:val="24"/>
        </w:rPr>
        <w:t xml:space="preserve">эксперты оценивают вероятность негативных последствий в результате выбора инерционного сценария </w:t>
      </w:r>
      <w:r w:rsidRPr="00F36651">
        <w:rPr>
          <w:rFonts w:ascii="Times New Roman" w:hAnsi="Times New Roman" w:cs="Times New Roman"/>
          <w:sz w:val="24"/>
          <w:szCs w:val="24"/>
        </w:rPr>
        <w:t>почти</w:t>
      </w:r>
      <w:r>
        <w:rPr>
          <w:rFonts w:ascii="Times New Roman" w:hAnsi="Times New Roman" w:cs="Times New Roman"/>
          <w:sz w:val="24"/>
          <w:szCs w:val="24"/>
        </w:rPr>
        <w:t xml:space="preserve"> в </w:t>
      </w:r>
      <w:r w:rsidRPr="00F36651">
        <w:rPr>
          <w:rFonts w:ascii="Times New Roman" w:hAnsi="Times New Roman" w:cs="Times New Roman"/>
          <w:sz w:val="24"/>
          <w:szCs w:val="24"/>
        </w:rPr>
        <w:t>90%.</w:t>
      </w:r>
    </w:p>
    <w:p w14:paraId="18530C09" w14:textId="77777777" w:rsidR="002754C6" w:rsidRDefault="002754C6" w:rsidP="00EC0E2A">
      <w:pPr>
        <w:spacing w:line="360" w:lineRule="auto"/>
        <w:ind w:firstLine="709"/>
        <w:jc w:val="both"/>
        <w:rPr>
          <w:rFonts w:ascii="Times New Roman" w:hAnsi="Times New Roman" w:cs="Times New Roman"/>
          <w:sz w:val="24"/>
          <w:szCs w:val="24"/>
        </w:rPr>
      </w:pPr>
      <w:r w:rsidRPr="00F36651">
        <w:rPr>
          <w:rFonts w:ascii="Times New Roman" w:hAnsi="Times New Roman" w:cs="Times New Roman"/>
          <w:sz w:val="24"/>
          <w:szCs w:val="24"/>
        </w:rPr>
        <w:t xml:space="preserve">Мобилизационный </w:t>
      </w:r>
      <w:r>
        <w:rPr>
          <w:rFonts w:ascii="Times New Roman" w:hAnsi="Times New Roman" w:cs="Times New Roman"/>
          <w:sz w:val="24"/>
          <w:szCs w:val="24"/>
        </w:rPr>
        <w:t>сценарий</w:t>
      </w:r>
      <w:r w:rsidRPr="00F36651">
        <w:rPr>
          <w:rFonts w:ascii="Times New Roman" w:hAnsi="Times New Roman" w:cs="Times New Roman"/>
          <w:sz w:val="24"/>
          <w:szCs w:val="24"/>
        </w:rPr>
        <w:t xml:space="preserve"> (закручивание гаек), предполагающий </w:t>
      </w:r>
      <w:proofErr w:type="spellStart"/>
      <w:r w:rsidRPr="00F36651">
        <w:rPr>
          <w:rFonts w:ascii="Times New Roman" w:hAnsi="Times New Roman" w:cs="Times New Roman"/>
          <w:sz w:val="24"/>
          <w:szCs w:val="24"/>
        </w:rPr>
        <w:t>бóльшую</w:t>
      </w:r>
      <w:proofErr w:type="spellEnd"/>
      <w:r w:rsidRPr="00F36651">
        <w:rPr>
          <w:rFonts w:ascii="Times New Roman" w:hAnsi="Times New Roman" w:cs="Times New Roman"/>
          <w:sz w:val="24"/>
          <w:szCs w:val="24"/>
        </w:rPr>
        <w:t xml:space="preserve"> жесткость во взаимоотношениях власти и общества, оценен экспертами с вероятностью – 28,3%, по предпочтительности - 12%. </w:t>
      </w:r>
      <w:r>
        <w:rPr>
          <w:rFonts w:ascii="Times New Roman" w:hAnsi="Times New Roman" w:cs="Times New Roman"/>
          <w:sz w:val="24"/>
          <w:szCs w:val="24"/>
        </w:rPr>
        <w:t>Таким образом в</w:t>
      </w:r>
      <w:r w:rsidRPr="00F36651">
        <w:rPr>
          <w:rFonts w:ascii="Times New Roman" w:hAnsi="Times New Roman" w:cs="Times New Roman"/>
          <w:sz w:val="24"/>
          <w:szCs w:val="24"/>
        </w:rPr>
        <w:t xml:space="preserve">ыбор этого варианта довольно вероятен, но его предпочтительность оценена экспертами ниже всех. По последствиям при </w:t>
      </w:r>
      <w:r>
        <w:rPr>
          <w:rFonts w:ascii="Times New Roman" w:hAnsi="Times New Roman" w:cs="Times New Roman"/>
          <w:sz w:val="24"/>
          <w:szCs w:val="24"/>
        </w:rPr>
        <w:t>втором</w:t>
      </w:r>
      <w:r w:rsidRPr="00F36651">
        <w:rPr>
          <w:rFonts w:ascii="Times New Roman" w:hAnsi="Times New Roman" w:cs="Times New Roman"/>
          <w:sz w:val="24"/>
          <w:szCs w:val="24"/>
        </w:rPr>
        <w:t xml:space="preserve"> сценарии наиболее вероятен спад (57,3%), еще 34,8% - стагнация. То есть, </w:t>
      </w:r>
      <w:r>
        <w:rPr>
          <w:rFonts w:ascii="Times New Roman" w:hAnsi="Times New Roman" w:cs="Times New Roman"/>
          <w:sz w:val="24"/>
          <w:szCs w:val="24"/>
        </w:rPr>
        <w:t>вероятность неблагоприятного исхода при этом сценарии также, как и при инерционном, составляет около</w:t>
      </w:r>
      <w:r w:rsidRPr="00F36651">
        <w:rPr>
          <w:rFonts w:ascii="Times New Roman" w:hAnsi="Times New Roman" w:cs="Times New Roman"/>
          <w:sz w:val="24"/>
          <w:szCs w:val="24"/>
        </w:rPr>
        <w:t xml:space="preserve"> 90%, </w:t>
      </w:r>
      <w:r>
        <w:rPr>
          <w:rFonts w:ascii="Times New Roman" w:hAnsi="Times New Roman" w:cs="Times New Roman"/>
          <w:sz w:val="24"/>
          <w:szCs w:val="24"/>
        </w:rPr>
        <w:t>а</w:t>
      </w:r>
      <w:r w:rsidRPr="00F36651">
        <w:rPr>
          <w:rFonts w:ascii="Times New Roman" w:hAnsi="Times New Roman" w:cs="Times New Roman"/>
          <w:sz w:val="24"/>
          <w:szCs w:val="24"/>
        </w:rPr>
        <w:t xml:space="preserve"> вероятность успеха</w:t>
      </w:r>
      <w:r>
        <w:rPr>
          <w:rFonts w:ascii="Times New Roman" w:hAnsi="Times New Roman" w:cs="Times New Roman"/>
          <w:sz w:val="24"/>
          <w:szCs w:val="24"/>
        </w:rPr>
        <w:t>,</w:t>
      </w:r>
      <w:r w:rsidRPr="00F36651">
        <w:rPr>
          <w:rFonts w:ascii="Times New Roman" w:hAnsi="Times New Roman" w:cs="Times New Roman"/>
          <w:sz w:val="24"/>
          <w:szCs w:val="24"/>
        </w:rPr>
        <w:t xml:space="preserve"> по мнению экспертов</w:t>
      </w:r>
      <w:r>
        <w:rPr>
          <w:rFonts w:ascii="Times New Roman" w:hAnsi="Times New Roman" w:cs="Times New Roman"/>
          <w:sz w:val="24"/>
          <w:szCs w:val="24"/>
        </w:rPr>
        <w:t>,</w:t>
      </w:r>
      <w:r w:rsidRPr="00F36651">
        <w:rPr>
          <w:rFonts w:ascii="Times New Roman" w:hAnsi="Times New Roman" w:cs="Times New Roman"/>
          <w:sz w:val="24"/>
          <w:szCs w:val="24"/>
        </w:rPr>
        <w:t xml:space="preserve"> только </w:t>
      </w:r>
      <w:r>
        <w:rPr>
          <w:rFonts w:ascii="Times New Roman" w:hAnsi="Times New Roman" w:cs="Times New Roman"/>
          <w:sz w:val="24"/>
          <w:szCs w:val="24"/>
        </w:rPr>
        <w:t>8</w:t>
      </w:r>
      <w:r w:rsidRPr="00F36651">
        <w:rPr>
          <w:rFonts w:ascii="Times New Roman" w:hAnsi="Times New Roman" w:cs="Times New Roman"/>
          <w:sz w:val="24"/>
          <w:szCs w:val="24"/>
        </w:rPr>
        <w:t xml:space="preserve">%. </w:t>
      </w:r>
    </w:p>
    <w:p w14:paraId="450182E5" w14:textId="77777777" w:rsidR="002754C6" w:rsidRPr="00F36651" w:rsidRDefault="002754C6" w:rsidP="00EC0E2A">
      <w:pPr>
        <w:spacing w:line="360" w:lineRule="auto"/>
        <w:ind w:firstLine="709"/>
        <w:jc w:val="both"/>
        <w:rPr>
          <w:rFonts w:ascii="Times New Roman" w:hAnsi="Times New Roman" w:cs="Times New Roman"/>
          <w:sz w:val="24"/>
          <w:szCs w:val="24"/>
        </w:rPr>
      </w:pPr>
      <w:r w:rsidRPr="00F36651">
        <w:rPr>
          <w:rFonts w:ascii="Times New Roman" w:hAnsi="Times New Roman" w:cs="Times New Roman"/>
          <w:sz w:val="24"/>
          <w:szCs w:val="24"/>
        </w:rPr>
        <w:t xml:space="preserve">По мнению экспертов, таким образом, </w:t>
      </w:r>
      <w:r>
        <w:rPr>
          <w:rFonts w:ascii="Times New Roman" w:hAnsi="Times New Roman" w:cs="Times New Roman"/>
          <w:sz w:val="24"/>
          <w:szCs w:val="24"/>
        </w:rPr>
        <w:t xml:space="preserve">с точки зрения возможных последствий </w:t>
      </w:r>
      <w:r w:rsidRPr="00F36651">
        <w:rPr>
          <w:rFonts w:ascii="Times New Roman" w:hAnsi="Times New Roman" w:cs="Times New Roman"/>
          <w:sz w:val="24"/>
          <w:szCs w:val="24"/>
        </w:rPr>
        <w:t xml:space="preserve">выбор </w:t>
      </w:r>
      <w:r>
        <w:rPr>
          <w:rFonts w:ascii="Times New Roman" w:hAnsi="Times New Roman" w:cs="Times New Roman"/>
          <w:sz w:val="24"/>
          <w:szCs w:val="24"/>
        </w:rPr>
        <w:t>двух первых сценариев</w:t>
      </w:r>
      <w:r w:rsidRPr="00F36651">
        <w:rPr>
          <w:rFonts w:ascii="Times New Roman" w:hAnsi="Times New Roman" w:cs="Times New Roman"/>
          <w:sz w:val="24"/>
          <w:szCs w:val="24"/>
        </w:rPr>
        <w:t xml:space="preserve"> нежелателен.</w:t>
      </w:r>
    </w:p>
    <w:p w14:paraId="66076BEC" w14:textId="2939B5E0" w:rsidR="002754C6" w:rsidRPr="00F36651" w:rsidRDefault="002754C6" w:rsidP="00EC0E2A">
      <w:pPr>
        <w:spacing w:line="360" w:lineRule="auto"/>
        <w:ind w:firstLine="709"/>
        <w:jc w:val="both"/>
        <w:rPr>
          <w:rFonts w:ascii="Times New Roman" w:hAnsi="Times New Roman" w:cs="Times New Roman"/>
          <w:sz w:val="24"/>
          <w:szCs w:val="24"/>
        </w:rPr>
      </w:pPr>
      <w:r w:rsidRPr="00F36651">
        <w:rPr>
          <w:rFonts w:ascii="Times New Roman" w:hAnsi="Times New Roman" w:cs="Times New Roman"/>
          <w:sz w:val="24"/>
          <w:szCs w:val="24"/>
        </w:rPr>
        <w:t>Третий вариант – решительный рывок в сторону радикальных демократических изменений</w:t>
      </w:r>
      <w:r w:rsidR="00507B49">
        <w:rPr>
          <w:rFonts w:ascii="Times New Roman" w:hAnsi="Times New Roman" w:cs="Times New Roman"/>
          <w:sz w:val="24"/>
          <w:szCs w:val="24"/>
        </w:rPr>
        <w:t xml:space="preserve"> и последующая «модернизация снизу»</w:t>
      </w:r>
      <w:r w:rsidRPr="00F36651">
        <w:rPr>
          <w:rFonts w:ascii="Times New Roman" w:hAnsi="Times New Roman" w:cs="Times New Roman"/>
          <w:sz w:val="24"/>
          <w:szCs w:val="24"/>
        </w:rPr>
        <w:t xml:space="preserve">, - </w:t>
      </w:r>
      <w:r>
        <w:rPr>
          <w:rFonts w:ascii="Times New Roman" w:hAnsi="Times New Roman" w:cs="Times New Roman"/>
          <w:sz w:val="24"/>
          <w:szCs w:val="24"/>
        </w:rPr>
        <w:t>характеризуется</w:t>
      </w:r>
      <w:r w:rsidRPr="00F36651">
        <w:rPr>
          <w:rFonts w:ascii="Times New Roman" w:hAnsi="Times New Roman" w:cs="Times New Roman"/>
          <w:sz w:val="24"/>
          <w:szCs w:val="24"/>
        </w:rPr>
        <w:t xml:space="preserve"> сам</w:t>
      </w:r>
      <w:r>
        <w:rPr>
          <w:rFonts w:ascii="Times New Roman" w:hAnsi="Times New Roman" w:cs="Times New Roman"/>
          <w:sz w:val="24"/>
          <w:szCs w:val="24"/>
        </w:rPr>
        <w:t xml:space="preserve">ой </w:t>
      </w:r>
      <w:r w:rsidRPr="00F36651">
        <w:rPr>
          <w:rFonts w:ascii="Times New Roman" w:hAnsi="Times New Roman" w:cs="Times New Roman"/>
          <w:sz w:val="24"/>
          <w:szCs w:val="24"/>
        </w:rPr>
        <w:t>низк</w:t>
      </w:r>
      <w:r>
        <w:rPr>
          <w:rFonts w:ascii="Times New Roman" w:hAnsi="Times New Roman" w:cs="Times New Roman"/>
          <w:sz w:val="24"/>
          <w:szCs w:val="24"/>
        </w:rPr>
        <w:t>ой</w:t>
      </w:r>
      <w:r w:rsidRPr="00F36651">
        <w:rPr>
          <w:rFonts w:ascii="Times New Roman" w:hAnsi="Times New Roman" w:cs="Times New Roman"/>
          <w:sz w:val="24"/>
          <w:szCs w:val="24"/>
        </w:rPr>
        <w:t xml:space="preserve"> </w:t>
      </w:r>
      <w:r w:rsidRPr="00F36651">
        <w:rPr>
          <w:rFonts w:ascii="Times New Roman" w:hAnsi="Times New Roman" w:cs="Times New Roman"/>
          <w:sz w:val="24"/>
          <w:szCs w:val="24"/>
        </w:rPr>
        <w:lastRenderedPageBreak/>
        <w:t>вероятность</w:t>
      </w:r>
      <w:r>
        <w:rPr>
          <w:rFonts w:ascii="Times New Roman" w:hAnsi="Times New Roman" w:cs="Times New Roman"/>
          <w:sz w:val="24"/>
          <w:szCs w:val="24"/>
        </w:rPr>
        <w:t>ю</w:t>
      </w:r>
      <w:r w:rsidRPr="00F36651">
        <w:rPr>
          <w:rFonts w:ascii="Times New Roman" w:hAnsi="Times New Roman" w:cs="Times New Roman"/>
          <w:sz w:val="24"/>
          <w:szCs w:val="24"/>
        </w:rPr>
        <w:t xml:space="preserve"> выбора (6,7%) при самой высокой предпочтительности – (70%). Вероятность подъема</w:t>
      </w:r>
      <w:r>
        <w:rPr>
          <w:rFonts w:ascii="Times New Roman" w:hAnsi="Times New Roman" w:cs="Times New Roman"/>
          <w:sz w:val="24"/>
          <w:szCs w:val="24"/>
        </w:rPr>
        <w:t>,</w:t>
      </w:r>
      <w:r w:rsidRPr="00F36651">
        <w:rPr>
          <w:rFonts w:ascii="Times New Roman" w:hAnsi="Times New Roman" w:cs="Times New Roman"/>
          <w:sz w:val="24"/>
          <w:szCs w:val="24"/>
        </w:rPr>
        <w:t xml:space="preserve"> как последствия </w:t>
      </w:r>
      <w:r>
        <w:rPr>
          <w:rFonts w:ascii="Times New Roman" w:hAnsi="Times New Roman" w:cs="Times New Roman"/>
          <w:sz w:val="24"/>
          <w:szCs w:val="24"/>
        </w:rPr>
        <w:t xml:space="preserve">такого выбора, </w:t>
      </w:r>
      <w:r w:rsidRPr="00F36651">
        <w:rPr>
          <w:rFonts w:ascii="Times New Roman" w:hAnsi="Times New Roman" w:cs="Times New Roman"/>
          <w:sz w:val="24"/>
          <w:szCs w:val="24"/>
        </w:rPr>
        <w:t xml:space="preserve">оценивается в 52,9%, вероятность спада или стагнации </w:t>
      </w:r>
      <w:r>
        <w:rPr>
          <w:rFonts w:ascii="Times New Roman" w:hAnsi="Times New Roman" w:cs="Times New Roman"/>
          <w:sz w:val="24"/>
          <w:szCs w:val="24"/>
        </w:rPr>
        <w:t xml:space="preserve">в сумме несколько меньше - </w:t>
      </w:r>
      <w:r w:rsidRPr="00F36651">
        <w:rPr>
          <w:rFonts w:ascii="Times New Roman" w:hAnsi="Times New Roman" w:cs="Times New Roman"/>
          <w:sz w:val="24"/>
          <w:szCs w:val="24"/>
        </w:rPr>
        <w:t xml:space="preserve"> 47,1%.</w:t>
      </w:r>
    </w:p>
    <w:p w14:paraId="45C429AE" w14:textId="77777777" w:rsidR="002754C6" w:rsidRDefault="002754C6" w:rsidP="00EC0E2A">
      <w:pPr>
        <w:spacing w:line="360" w:lineRule="auto"/>
        <w:ind w:firstLine="709"/>
        <w:jc w:val="both"/>
        <w:rPr>
          <w:rFonts w:ascii="Times New Roman" w:hAnsi="Times New Roman" w:cs="Times New Roman"/>
          <w:sz w:val="24"/>
          <w:szCs w:val="24"/>
        </w:rPr>
      </w:pPr>
      <w:r w:rsidRPr="00F36651">
        <w:rPr>
          <w:rFonts w:ascii="Times New Roman" w:hAnsi="Times New Roman" w:cs="Times New Roman"/>
          <w:sz w:val="24"/>
          <w:szCs w:val="24"/>
        </w:rPr>
        <w:t>Четвертый вариант –</w:t>
      </w:r>
      <w:r>
        <w:rPr>
          <w:rFonts w:ascii="Times New Roman" w:hAnsi="Times New Roman" w:cs="Times New Roman"/>
          <w:sz w:val="24"/>
          <w:szCs w:val="24"/>
        </w:rPr>
        <w:t xml:space="preserve"> постепенное развитие -</w:t>
      </w:r>
      <w:r w:rsidRPr="00F36651">
        <w:rPr>
          <w:rFonts w:ascii="Times New Roman" w:hAnsi="Times New Roman" w:cs="Times New Roman"/>
          <w:sz w:val="24"/>
          <w:szCs w:val="24"/>
        </w:rPr>
        <w:t xml:space="preserve"> вероятность выбора 19,6%, предпочтительность – 67%. Последствия: подъем – 47,3%; стагнация – 37,0%; спад – 15,7%. Таким образом, </w:t>
      </w:r>
      <w:r>
        <w:rPr>
          <w:rFonts w:ascii="Times New Roman" w:hAnsi="Times New Roman" w:cs="Times New Roman"/>
          <w:sz w:val="24"/>
          <w:szCs w:val="24"/>
        </w:rPr>
        <w:t>для</w:t>
      </w:r>
      <w:r w:rsidRPr="00F36651">
        <w:rPr>
          <w:rFonts w:ascii="Times New Roman" w:hAnsi="Times New Roman" w:cs="Times New Roman"/>
          <w:sz w:val="24"/>
          <w:szCs w:val="24"/>
        </w:rPr>
        <w:t xml:space="preserve"> </w:t>
      </w:r>
      <w:r>
        <w:rPr>
          <w:rFonts w:ascii="Times New Roman" w:hAnsi="Times New Roman" w:cs="Times New Roman"/>
          <w:sz w:val="24"/>
          <w:szCs w:val="24"/>
        </w:rPr>
        <w:t xml:space="preserve">сценария </w:t>
      </w:r>
      <w:r w:rsidRPr="00497015">
        <w:rPr>
          <w:rFonts w:ascii="Times New Roman" w:hAnsi="Times New Roman" w:cs="Times New Roman"/>
          <w:sz w:val="24"/>
          <w:szCs w:val="24"/>
        </w:rPr>
        <w:t>постепенно</w:t>
      </w:r>
      <w:r>
        <w:rPr>
          <w:rFonts w:ascii="Times New Roman" w:hAnsi="Times New Roman" w:cs="Times New Roman"/>
          <w:sz w:val="24"/>
          <w:szCs w:val="24"/>
        </w:rPr>
        <w:t>го</w:t>
      </w:r>
      <w:r w:rsidRPr="00F36651">
        <w:rPr>
          <w:rFonts w:ascii="Times New Roman" w:hAnsi="Times New Roman" w:cs="Times New Roman"/>
          <w:sz w:val="24"/>
          <w:szCs w:val="24"/>
        </w:rPr>
        <w:t xml:space="preserve"> развити</w:t>
      </w:r>
      <w:r>
        <w:rPr>
          <w:rFonts w:ascii="Times New Roman" w:hAnsi="Times New Roman" w:cs="Times New Roman"/>
          <w:sz w:val="24"/>
          <w:szCs w:val="24"/>
        </w:rPr>
        <w:t>я</w:t>
      </w:r>
      <w:r w:rsidRPr="00F36651">
        <w:rPr>
          <w:rFonts w:ascii="Times New Roman" w:hAnsi="Times New Roman" w:cs="Times New Roman"/>
          <w:sz w:val="24"/>
          <w:szCs w:val="24"/>
        </w:rPr>
        <w:t xml:space="preserve"> вероятность успеха (подъем) – </w:t>
      </w:r>
      <w:r>
        <w:rPr>
          <w:rFonts w:ascii="Times New Roman" w:hAnsi="Times New Roman" w:cs="Times New Roman"/>
          <w:sz w:val="24"/>
          <w:szCs w:val="24"/>
        </w:rPr>
        <w:t xml:space="preserve">чуть </w:t>
      </w:r>
      <w:r w:rsidRPr="00F36651">
        <w:rPr>
          <w:rFonts w:ascii="Times New Roman" w:hAnsi="Times New Roman" w:cs="Times New Roman"/>
          <w:sz w:val="24"/>
          <w:szCs w:val="24"/>
        </w:rPr>
        <w:t xml:space="preserve">ниже половины (47,3%), а суммарная вероятность стагнации или спада – </w:t>
      </w:r>
      <w:r>
        <w:rPr>
          <w:rFonts w:ascii="Times New Roman" w:hAnsi="Times New Roman" w:cs="Times New Roman"/>
          <w:sz w:val="24"/>
          <w:szCs w:val="24"/>
        </w:rPr>
        <w:t>5</w:t>
      </w:r>
      <w:r w:rsidRPr="00F36651">
        <w:rPr>
          <w:rFonts w:ascii="Times New Roman" w:hAnsi="Times New Roman" w:cs="Times New Roman"/>
          <w:sz w:val="24"/>
          <w:szCs w:val="24"/>
        </w:rPr>
        <w:t xml:space="preserve">2,7%, </w:t>
      </w:r>
      <w:r>
        <w:rPr>
          <w:rFonts w:ascii="Times New Roman" w:hAnsi="Times New Roman" w:cs="Times New Roman"/>
          <w:sz w:val="24"/>
          <w:szCs w:val="24"/>
        </w:rPr>
        <w:t>чуть</w:t>
      </w:r>
      <w:r w:rsidRPr="00F36651">
        <w:rPr>
          <w:rFonts w:ascii="Times New Roman" w:hAnsi="Times New Roman" w:cs="Times New Roman"/>
          <w:sz w:val="24"/>
          <w:szCs w:val="24"/>
        </w:rPr>
        <w:t xml:space="preserve"> </w:t>
      </w:r>
      <w:r>
        <w:rPr>
          <w:rFonts w:ascii="Times New Roman" w:hAnsi="Times New Roman" w:cs="Times New Roman"/>
          <w:sz w:val="24"/>
          <w:szCs w:val="24"/>
        </w:rPr>
        <w:t>выш</w:t>
      </w:r>
      <w:r w:rsidRPr="00F36651">
        <w:rPr>
          <w:rFonts w:ascii="Times New Roman" w:hAnsi="Times New Roman" w:cs="Times New Roman"/>
          <w:sz w:val="24"/>
          <w:szCs w:val="24"/>
        </w:rPr>
        <w:t xml:space="preserve">е. </w:t>
      </w:r>
      <w:r>
        <w:rPr>
          <w:rFonts w:ascii="Times New Roman" w:hAnsi="Times New Roman" w:cs="Times New Roman"/>
          <w:sz w:val="24"/>
          <w:szCs w:val="24"/>
        </w:rPr>
        <w:t>З</w:t>
      </w:r>
      <w:r w:rsidRPr="00F36651">
        <w:rPr>
          <w:rFonts w:ascii="Times New Roman" w:hAnsi="Times New Roman" w:cs="Times New Roman"/>
          <w:sz w:val="24"/>
          <w:szCs w:val="24"/>
        </w:rPr>
        <w:t xml:space="preserve">десь эксперты проявили осторожность: вариант подъема имеет при этом сценарии </w:t>
      </w:r>
      <w:r>
        <w:rPr>
          <w:rFonts w:ascii="Times New Roman" w:hAnsi="Times New Roman" w:cs="Times New Roman"/>
          <w:sz w:val="24"/>
          <w:szCs w:val="24"/>
        </w:rPr>
        <w:t xml:space="preserve">примерно </w:t>
      </w:r>
      <w:r w:rsidRPr="00F36651">
        <w:rPr>
          <w:rFonts w:ascii="Times New Roman" w:hAnsi="Times New Roman" w:cs="Times New Roman"/>
          <w:sz w:val="24"/>
          <w:szCs w:val="24"/>
        </w:rPr>
        <w:t xml:space="preserve">такую же вероятность, как два других. </w:t>
      </w:r>
    </w:p>
    <w:p w14:paraId="117FD619" w14:textId="77777777" w:rsidR="002754C6" w:rsidRPr="00F36651" w:rsidRDefault="002754C6" w:rsidP="00EC0E2A">
      <w:pPr>
        <w:spacing w:line="360" w:lineRule="auto"/>
        <w:ind w:firstLine="709"/>
        <w:jc w:val="both"/>
        <w:rPr>
          <w:rFonts w:ascii="Times New Roman" w:hAnsi="Times New Roman" w:cs="Times New Roman"/>
          <w:sz w:val="24"/>
          <w:szCs w:val="24"/>
        </w:rPr>
      </w:pPr>
      <w:r w:rsidRPr="00F36651">
        <w:rPr>
          <w:rFonts w:ascii="Times New Roman" w:hAnsi="Times New Roman" w:cs="Times New Roman"/>
          <w:sz w:val="24"/>
          <w:szCs w:val="24"/>
        </w:rPr>
        <w:t xml:space="preserve">Вероятность успеха при </w:t>
      </w:r>
      <w:r>
        <w:rPr>
          <w:rFonts w:ascii="Times New Roman" w:hAnsi="Times New Roman" w:cs="Times New Roman"/>
          <w:sz w:val="24"/>
          <w:szCs w:val="24"/>
        </w:rPr>
        <w:t>третьем</w:t>
      </w:r>
      <w:r w:rsidRPr="00F36651">
        <w:rPr>
          <w:rFonts w:ascii="Times New Roman" w:hAnsi="Times New Roman" w:cs="Times New Roman"/>
          <w:sz w:val="24"/>
          <w:szCs w:val="24"/>
        </w:rPr>
        <w:t xml:space="preserve"> сценарии представляется, таким образом, самой высокой, но вероятность выбора – самой низкой (6,7%).  </w:t>
      </w:r>
      <w:r>
        <w:rPr>
          <w:rFonts w:ascii="Times New Roman" w:hAnsi="Times New Roman" w:cs="Times New Roman"/>
          <w:sz w:val="24"/>
          <w:szCs w:val="24"/>
        </w:rPr>
        <w:t>Четвертый</w:t>
      </w:r>
      <w:r w:rsidRPr="00F36651">
        <w:rPr>
          <w:rFonts w:ascii="Times New Roman" w:hAnsi="Times New Roman" w:cs="Times New Roman"/>
          <w:sz w:val="24"/>
          <w:szCs w:val="24"/>
        </w:rPr>
        <w:t xml:space="preserve"> сценарий имеет вероятность выбора выше</w:t>
      </w:r>
      <w:r>
        <w:rPr>
          <w:rFonts w:ascii="Times New Roman" w:hAnsi="Times New Roman" w:cs="Times New Roman"/>
          <w:sz w:val="24"/>
          <w:szCs w:val="24"/>
        </w:rPr>
        <w:t>, чем третий</w:t>
      </w:r>
      <w:r w:rsidRPr="00F36651">
        <w:rPr>
          <w:rFonts w:ascii="Times New Roman" w:hAnsi="Times New Roman" w:cs="Times New Roman"/>
          <w:sz w:val="24"/>
          <w:szCs w:val="24"/>
        </w:rPr>
        <w:t xml:space="preserve"> (19,6%  против 6,7%), </w:t>
      </w:r>
      <w:r>
        <w:rPr>
          <w:rFonts w:ascii="Times New Roman" w:hAnsi="Times New Roman" w:cs="Times New Roman"/>
          <w:sz w:val="24"/>
          <w:szCs w:val="24"/>
        </w:rPr>
        <w:t xml:space="preserve">но </w:t>
      </w:r>
      <w:r w:rsidRPr="00F36651">
        <w:rPr>
          <w:rFonts w:ascii="Times New Roman" w:hAnsi="Times New Roman" w:cs="Times New Roman"/>
          <w:sz w:val="24"/>
          <w:szCs w:val="24"/>
        </w:rPr>
        <w:t xml:space="preserve">по предпочтительности он </w:t>
      </w:r>
      <w:r>
        <w:rPr>
          <w:rFonts w:ascii="Times New Roman" w:hAnsi="Times New Roman" w:cs="Times New Roman"/>
          <w:sz w:val="24"/>
          <w:szCs w:val="24"/>
        </w:rPr>
        <w:t>уступает третьему</w:t>
      </w:r>
      <w:r w:rsidRPr="00F36651">
        <w:rPr>
          <w:rFonts w:ascii="Times New Roman" w:hAnsi="Times New Roman" w:cs="Times New Roman"/>
          <w:sz w:val="24"/>
          <w:szCs w:val="24"/>
        </w:rPr>
        <w:t xml:space="preserve"> (67% против 70%). Это можно трактовать так: </w:t>
      </w:r>
      <w:r>
        <w:rPr>
          <w:rFonts w:ascii="Times New Roman" w:hAnsi="Times New Roman" w:cs="Times New Roman"/>
          <w:sz w:val="24"/>
          <w:szCs w:val="24"/>
        </w:rPr>
        <w:t>третий</w:t>
      </w:r>
      <w:r w:rsidRPr="00F36651">
        <w:rPr>
          <w:rFonts w:ascii="Times New Roman" w:hAnsi="Times New Roman" w:cs="Times New Roman"/>
          <w:sz w:val="24"/>
          <w:szCs w:val="24"/>
        </w:rPr>
        <w:t xml:space="preserve"> сценарий – лучший, но при нем несколько выше риски, чем при </w:t>
      </w:r>
      <w:r>
        <w:rPr>
          <w:rFonts w:ascii="Times New Roman" w:hAnsi="Times New Roman" w:cs="Times New Roman"/>
          <w:sz w:val="24"/>
          <w:szCs w:val="24"/>
        </w:rPr>
        <w:t>четвертом</w:t>
      </w:r>
      <w:r w:rsidRPr="00F36651">
        <w:rPr>
          <w:rFonts w:ascii="Times New Roman" w:hAnsi="Times New Roman" w:cs="Times New Roman"/>
          <w:sz w:val="24"/>
          <w:szCs w:val="24"/>
        </w:rPr>
        <w:t>.</w:t>
      </w:r>
    </w:p>
    <w:p w14:paraId="2CD1682E" w14:textId="77777777" w:rsidR="002754C6" w:rsidRPr="0010430F" w:rsidRDefault="002754C6" w:rsidP="002754C6">
      <w:pPr>
        <w:spacing w:line="360" w:lineRule="auto"/>
        <w:ind w:left="-142" w:firstLine="426"/>
        <w:jc w:val="both"/>
        <w:rPr>
          <w:rFonts w:ascii="Times New Roman" w:hAnsi="Times New Roman" w:cs="Times New Roman"/>
          <w:b/>
          <w:sz w:val="24"/>
          <w:szCs w:val="24"/>
        </w:rPr>
      </w:pPr>
    </w:p>
    <w:p w14:paraId="789668E0" w14:textId="77777777" w:rsidR="002754C6" w:rsidRDefault="002754C6" w:rsidP="002754C6">
      <w:pPr>
        <w:spacing w:line="360" w:lineRule="auto"/>
        <w:ind w:left="-142" w:firstLine="284"/>
        <w:jc w:val="both"/>
        <w:rPr>
          <w:rFonts w:ascii="Times New Roman" w:hAnsi="Times New Roman" w:cs="Times New Roman"/>
          <w:sz w:val="24"/>
          <w:szCs w:val="24"/>
        </w:rPr>
        <w:sectPr w:rsidR="002754C6" w:rsidSect="00F36651">
          <w:footerReference w:type="default" r:id="rId23"/>
          <w:pgSz w:w="11906" w:h="16838"/>
          <w:pgMar w:top="1134" w:right="850" w:bottom="1134" w:left="1418" w:header="708" w:footer="708" w:gutter="0"/>
          <w:cols w:space="708"/>
          <w:docGrid w:linePitch="360"/>
        </w:sectPr>
      </w:pPr>
    </w:p>
    <w:p w14:paraId="3D42541C" w14:textId="77777777" w:rsidR="002754C6" w:rsidRPr="00B01B51" w:rsidRDefault="002754C6" w:rsidP="002754C6">
      <w:pPr>
        <w:rPr>
          <w:rFonts w:ascii="Times New Roman" w:hAnsi="Times New Roman" w:cs="Times New Roman"/>
          <w:b/>
          <w:sz w:val="24"/>
          <w:szCs w:val="24"/>
        </w:rPr>
      </w:pPr>
    </w:p>
    <w:tbl>
      <w:tblPr>
        <w:tblStyle w:val="a5"/>
        <w:tblpPr w:leftFromText="180" w:rightFromText="180" w:horzAnchor="margin" w:tblpY="1365"/>
        <w:tblW w:w="0" w:type="auto"/>
        <w:tblLook w:val="04A0" w:firstRow="1" w:lastRow="0" w:firstColumn="1" w:lastColumn="0" w:noHBand="0" w:noVBand="1"/>
      </w:tblPr>
      <w:tblGrid>
        <w:gridCol w:w="4928"/>
        <w:gridCol w:w="2464"/>
        <w:gridCol w:w="2465"/>
        <w:gridCol w:w="2464"/>
        <w:gridCol w:w="2465"/>
      </w:tblGrid>
      <w:tr w:rsidR="002754C6" w14:paraId="01DBC23E" w14:textId="77777777" w:rsidTr="002754C6">
        <w:tc>
          <w:tcPr>
            <w:tcW w:w="4928" w:type="dxa"/>
            <w:tcBorders>
              <w:top w:val="single" w:sz="12" w:space="0" w:color="auto"/>
              <w:left w:val="single" w:sz="12" w:space="0" w:color="auto"/>
              <w:bottom w:val="single" w:sz="12" w:space="0" w:color="auto"/>
              <w:right w:val="single" w:sz="12" w:space="0" w:color="auto"/>
            </w:tcBorders>
            <w:vAlign w:val="center"/>
          </w:tcPr>
          <w:p w14:paraId="34A17E07" w14:textId="77777777" w:rsidR="002754C6" w:rsidRDefault="002754C6" w:rsidP="002754C6">
            <w:pPr>
              <w:jc w:val="center"/>
            </w:pPr>
            <w:r>
              <w:t>Выбор экономической политики</w:t>
            </w:r>
          </w:p>
          <w:p w14:paraId="326CB3CD" w14:textId="77777777" w:rsidR="002754C6" w:rsidRDefault="002754C6" w:rsidP="002754C6">
            <w:pPr>
              <w:jc w:val="center"/>
            </w:pPr>
            <w:r>
              <w:t>(2-3 года)</w:t>
            </w:r>
          </w:p>
        </w:tc>
        <w:tc>
          <w:tcPr>
            <w:tcW w:w="4929" w:type="dxa"/>
            <w:gridSpan w:val="2"/>
            <w:tcBorders>
              <w:top w:val="single" w:sz="12" w:space="0" w:color="auto"/>
              <w:left w:val="single" w:sz="12" w:space="0" w:color="auto"/>
              <w:bottom w:val="single" w:sz="12" w:space="0" w:color="auto"/>
              <w:right w:val="single" w:sz="12" w:space="0" w:color="auto"/>
            </w:tcBorders>
            <w:vAlign w:val="center"/>
          </w:tcPr>
          <w:p w14:paraId="0F3A9079" w14:textId="77777777" w:rsidR="002754C6" w:rsidRPr="00125B44" w:rsidRDefault="002754C6" w:rsidP="002754C6">
            <w:pPr>
              <w:jc w:val="center"/>
            </w:pPr>
          </w:p>
        </w:tc>
        <w:tc>
          <w:tcPr>
            <w:tcW w:w="4929" w:type="dxa"/>
            <w:gridSpan w:val="2"/>
            <w:tcBorders>
              <w:top w:val="single" w:sz="12" w:space="0" w:color="auto"/>
              <w:left w:val="single" w:sz="12" w:space="0" w:color="auto"/>
              <w:bottom w:val="single" w:sz="12" w:space="0" w:color="auto"/>
            </w:tcBorders>
            <w:vAlign w:val="center"/>
          </w:tcPr>
          <w:p w14:paraId="54C532FE" w14:textId="77777777" w:rsidR="002754C6" w:rsidRDefault="002754C6" w:rsidP="002754C6">
            <w:pPr>
              <w:jc w:val="center"/>
            </w:pPr>
            <w:r>
              <w:t>Последствия политики в экономике</w:t>
            </w:r>
          </w:p>
          <w:p w14:paraId="2C422D97" w14:textId="77777777" w:rsidR="002754C6" w:rsidRDefault="002754C6" w:rsidP="002754C6">
            <w:pPr>
              <w:jc w:val="center"/>
            </w:pPr>
            <w:r>
              <w:t>(3-5 лет)</w:t>
            </w:r>
          </w:p>
        </w:tc>
      </w:tr>
      <w:tr w:rsidR="002754C6" w14:paraId="19C28E9C" w14:textId="77777777" w:rsidTr="002754C6">
        <w:tc>
          <w:tcPr>
            <w:tcW w:w="4928" w:type="dxa"/>
            <w:tcBorders>
              <w:top w:val="single" w:sz="12" w:space="0" w:color="auto"/>
              <w:left w:val="single" w:sz="12" w:space="0" w:color="auto"/>
              <w:bottom w:val="single" w:sz="12" w:space="0" w:color="auto"/>
              <w:right w:val="single" w:sz="12" w:space="0" w:color="auto"/>
            </w:tcBorders>
            <w:vAlign w:val="center"/>
          </w:tcPr>
          <w:p w14:paraId="66B76377" w14:textId="77777777" w:rsidR="002754C6" w:rsidRDefault="002754C6" w:rsidP="002754C6">
            <w:pPr>
              <w:jc w:val="center"/>
            </w:pPr>
            <w:r>
              <w:t>Варианты</w:t>
            </w:r>
          </w:p>
        </w:tc>
        <w:tc>
          <w:tcPr>
            <w:tcW w:w="2464" w:type="dxa"/>
            <w:tcBorders>
              <w:top w:val="single" w:sz="12" w:space="0" w:color="auto"/>
              <w:left w:val="single" w:sz="12" w:space="0" w:color="auto"/>
              <w:bottom w:val="single" w:sz="12" w:space="0" w:color="auto"/>
              <w:right w:val="single" w:sz="12" w:space="0" w:color="auto"/>
            </w:tcBorders>
            <w:vAlign w:val="center"/>
          </w:tcPr>
          <w:p w14:paraId="246FCD1D" w14:textId="77777777" w:rsidR="002754C6" w:rsidRDefault="002754C6" w:rsidP="002754C6">
            <w:pPr>
              <w:jc w:val="center"/>
            </w:pPr>
            <w:r>
              <w:t>Вероятность</w:t>
            </w:r>
          </w:p>
          <w:p w14:paraId="701C85D5" w14:textId="77777777" w:rsidR="002754C6" w:rsidRDefault="002754C6" w:rsidP="002754C6">
            <w:pPr>
              <w:jc w:val="center"/>
            </w:pPr>
            <w:r>
              <w:t>(1-100%)</w:t>
            </w:r>
          </w:p>
        </w:tc>
        <w:tc>
          <w:tcPr>
            <w:tcW w:w="2465" w:type="dxa"/>
            <w:tcBorders>
              <w:top w:val="single" w:sz="12" w:space="0" w:color="auto"/>
              <w:left w:val="single" w:sz="12" w:space="0" w:color="auto"/>
              <w:bottom w:val="single" w:sz="12" w:space="0" w:color="auto"/>
              <w:right w:val="single" w:sz="12" w:space="0" w:color="auto"/>
            </w:tcBorders>
            <w:vAlign w:val="center"/>
          </w:tcPr>
          <w:p w14:paraId="11473458" w14:textId="77777777" w:rsidR="002754C6" w:rsidRDefault="002754C6" w:rsidP="002754C6">
            <w:pPr>
              <w:jc w:val="center"/>
            </w:pPr>
            <w:r>
              <w:t>Предпочтительность</w:t>
            </w:r>
          </w:p>
          <w:p w14:paraId="73AFC019" w14:textId="77777777" w:rsidR="002754C6" w:rsidRDefault="002754C6" w:rsidP="002754C6">
            <w:pPr>
              <w:jc w:val="center"/>
            </w:pPr>
            <w:r>
              <w:t>(1-10</w:t>
            </w:r>
            <w:r>
              <w:rPr>
                <w:lang w:val="en-US"/>
              </w:rPr>
              <w:t>0</w:t>
            </w:r>
            <w:r>
              <w:t xml:space="preserve"> баллов)</w:t>
            </w:r>
          </w:p>
        </w:tc>
        <w:tc>
          <w:tcPr>
            <w:tcW w:w="2464" w:type="dxa"/>
            <w:tcBorders>
              <w:top w:val="single" w:sz="12" w:space="0" w:color="auto"/>
              <w:left w:val="single" w:sz="12" w:space="0" w:color="auto"/>
              <w:bottom w:val="single" w:sz="12" w:space="0" w:color="auto"/>
              <w:right w:val="single" w:sz="12" w:space="0" w:color="auto"/>
            </w:tcBorders>
            <w:vAlign w:val="center"/>
          </w:tcPr>
          <w:p w14:paraId="38697EC3" w14:textId="77777777" w:rsidR="002754C6" w:rsidRDefault="002754C6" w:rsidP="002754C6">
            <w:pPr>
              <w:jc w:val="center"/>
            </w:pPr>
          </w:p>
        </w:tc>
        <w:tc>
          <w:tcPr>
            <w:tcW w:w="2465" w:type="dxa"/>
            <w:tcBorders>
              <w:top w:val="single" w:sz="12" w:space="0" w:color="auto"/>
              <w:left w:val="single" w:sz="12" w:space="0" w:color="auto"/>
              <w:bottom w:val="single" w:sz="12" w:space="0" w:color="auto"/>
            </w:tcBorders>
            <w:vAlign w:val="center"/>
          </w:tcPr>
          <w:p w14:paraId="4230C619" w14:textId="77777777" w:rsidR="002754C6" w:rsidRDefault="002754C6" w:rsidP="002754C6">
            <w:pPr>
              <w:jc w:val="center"/>
            </w:pPr>
            <w:r>
              <w:t>Вероятность</w:t>
            </w:r>
          </w:p>
          <w:p w14:paraId="642C7CF4" w14:textId="77777777" w:rsidR="002754C6" w:rsidRDefault="002754C6" w:rsidP="002754C6">
            <w:pPr>
              <w:jc w:val="center"/>
            </w:pPr>
            <w:r>
              <w:t>(1-100%)</w:t>
            </w:r>
          </w:p>
        </w:tc>
      </w:tr>
      <w:tr w:rsidR="002754C6" w14:paraId="12153BFF" w14:textId="77777777" w:rsidTr="002754C6">
        <w:trPr>
          <w:trHeight w:val="180"/>
        </w:trPr>
        <w:tc>
          <w:tcPr>
            <w:tcW w:w="4928" w:type="dxa"/>
            <w:vMerge w:val="restart"/>
            <w:tcBorders>
              <w:top w:val="single" w:sz="12" w:space="0" w:color="auto"/>
              <w:left w:val="single" w:sz="12" w:space="0" w:color="auto"/>
              <w:right w:val="single" w:sz="12" w:space="0" w:color="auto"/>
            </w:tcBorders>
            <w:vAlign w:val="center"/>
          </w:tcPr>
          <w:p w14:paraId="57E5B4B6" w14:textId="77777777" w:rsidR="002754C6" w:rsidRDefault="002754C6" w:rsidP="002754C6">
            <w:pPr>
              <w:pStyle w:val="af0"/>
              <w:numPr>
                <w:ilvl w:val="0"/>
                <w:numId w:val="7"/>
              </w:numPr>
            </w:pPr>
            <w:r>
              <w:t>Инерционный (продолжение политики 2003-2013 гг.)</w:t>
            </w:r>
          </w:p>
        </w:tc>
        <w:tc>
          <w:tcPr>
            <w:tcW w:w="2464" w:type="dxa"/>
            <w:vMerge w:val="restart"/>
            <w:tcBorders>
              <w:top w:val="single" w:sz="12" w:space="0" w:color="auto"/>
              <w:left w:val="single" w:sz="12" w:space="0" w:color="auto"/>
              <w:right w:val="single" w:sz="12" w:space="0" w:color="auto"/>
            </w:tcBorders>
            <w:vAlign w:val="center"/>
          </w:tcPr>
          <w:p w14:paraId="2252933E" w14:textId="77777777" w:rsidR="002754C6" w:rsidRPr="005746A4" w:rsidRDefault="002754C6" w:rsidP="002754C6">
            <w:pPr>
              <w:jc w:val="center"/>
              <w:rPr>
                <w:b/>
                <w:sz w:val="26"/>
                <w:szCs w:val="26"/>
                <w:lang w:val="en-US"/>
              </w:rPr>
            </w:pPr>
            <w:r w:rsidRPr="005746A4">
              <w:rPr>
                <w:b/>
                <w:sz w:val="26"/>
                <w:szCs w:val="26"/>
              </w:rPr>
              <w:t>45,3</w:t>
            </w:r>
          </w:p>
        </w:tc>
        <w:tc>
          <w:tcPr>
            <w:tcW w:w="2465" w:type="dxa"/>
            <w:vMerge w:val="restart"/>
            <w:tcBorders>
              <w:top w:val="single" w:sz="12" w:space="0" w:color="auto"/>
              <w:left w:val="single" w:sz="12" w:space="0" w:color="auto"/>
              <w:right w:val="single" w:sz="12" w:space="0" w:color="auto"/>
            </w:tcBorders>
            <w:vAlign w:val="center"/>
          </w:tcPr>
          <w:p w14:paraId="54E7854B" w14:textId="77777777" w:rsidR="002754C6" w:rsidRPr="005746A4" w:rsidRDefault="002754C6" w:rsidP="002754C6">
            <w:pPr>
              <w:jc w:val="center"/>
              <w:rPr>
                <w:b/>
                <w:sz w:val="26"/>
                <w:szCs w:val="26"/>
              </w:rPr>
            </w:pPr>
            <w:r w:rsidRPr="005746A4">
              <w:rPr>
                <w:b/>
                <w:sz w:val="26"/>
                <w:szCs w:val="26"/>
              </w:rPr>
              <w:t>26</w:t>
            </w:r>
          </w:p>
        </w:tc>
        <w:tc>
          <w:tcPr>
            <w:tcW w:w="2464" w:type="dxa"/>
            <w:tcBorders>
              <w:top w:val="single" w:sz="12" w:space="0" w:color="auto"/>
              <w:left w:val="single" w:sz="12" w:space="0" w:color="auto"/>
              <w:right w:val="single" w:sz="12" w:space="0" w:color="auto"/>
            </w:tcBorders>
            <w:vAlign w:val="center"/>
          </w:tcPr>
          <w:p w14:paraId="50F16AEF" w14:textId="77777777" w:rsidR="002754C6" w:rsidRDefault="002754C6" w:rsidP="002754C6">
            <w:r>
              <w:t>подъем</w:t>
            </w:r>
          </w:p>
        </w:tc>
        <w:tc>
          <w:tcPr>
            <w:tcW w:w="2465" w:type="dxa"/>
            <w:tcBorders>
              <w:top w:val="single" w:sz="12" w:space="0" w:color="auto"/>
              <w:left w:val="single" w:sz="12" w:space="0" w:color="auto"/>
            </w:tcBorders>
            <w:vAlign w:val="center"/>
          </w:tcPr>
          <w:p w14:paraId="58A020C0" w14:textId="77777777" w:rsidR="002754C6" w:rsidRPr="005746A4" w:rsidRDefault="002754C6" w:rsidP="002754C6">
            <w:pPr>
              <w:jc w:val="center"/>
              <w:rPr>
                <w:sz w:val="24"/>
                <w:szCs w:val="24"/>
              </w:rPr>
            </w:pPr>
            <w:r w:rsidRPr="005746A4">
              <w:rPr>
                <w:sz w:val="24"/>
                <w:szCs w:val="24"/>
              </w:rPr>
              <w:t>11,2</w:t>
            </w:r>
          </w:p>
        </w:tc>
      </w:tr>
      <w:tr w:rsidR="002754C6" w14:paraId="7D1FE693" w14:textId="77777777" w:rsidTr="002754C6">
        <w:trPr>
          <w:trHeight w:val="180"/>
        </w:trPr>
        <w:tc>
          <w:tcPr>
            <w:tcW w:w="4928" w:type="dxa"/>
            <w:vMerge/>
            <w:tcBorders>
              <w:left w:val="single" w:sz="12" w:space="0" w:color="auto"/>
              <w:right w:val="single" w:sz="12" w:space="0" w:color="auto"/>
            </w:tcBorders>
            <w:vAlign w:val="center"/>
          </w:tcPr>
          <w:p w14:paraId="53AB5BBC" w14:textId="77777777" w:rsidR="002754C6" w:rsidRDefault="002754C6" w:rsidP="002754C6">
            <w:pPr>
              <w:pStyle w:val="af0"/>
              <w:numPr>
                <w:ilvl w:val="0"/>
                <w:numId w:val="7"/>
              </w:numPr>
            </w:pPr>
          </w:p>
        </w:tc>
        <w:tc>
          <w:tcPr>
            <w:tcW w:w="2464" w:type="dxa"/>
            <w:vMerge/>
            <w:tcBorders>
              <w:left w:val="single" w:sz="12" w:space="0" w:color="auto"/>
              <w:right w:val="single" w:sz="12" w:space="0" w:color="auto"/>
            </w:tcBorders>
            <w:vAlign w:val="center"/>
          </w:tcPr>
          <w:p w14:paraId="6FEB1AAE" w14:textId="77777777" w:rsidR="002754C6" w:rsidRPr="005746A4" w:rsidRDefault="002754C6" w:rsidP="002754C6">
            <w:pPr>
              <w:jc w:val="center"/>
              <w:rPr>
                <w:b/>
                <w:sz w:val="26"/>
                <w:szCs w:val="26"/>
              </w:rPr>
            </w:pPr>
          </w:p>
        </w:tc>
        <w:tc>
          <w:tcPr>
            <w:tcW w:w="2465" w:type="dxa"/>
            <w:vMerge/>
            <w:tcBorders>
              <w:left w:val="single" w:sz="12" w:space="0" w:color="auto"/>
              <w:right w:val="single" w:sz="12" w:space="0" w:color="auto"/>
            </w:tcBorders>
            <w:vAlign w:val="center"/>
          </w:tcPr>
          <w:p w14:paraId="296B67D1" w14:textId="77777777" w:rsidR="002754C6" w:rsidRPr="005746A4" w:rsidRDefault="002754C6" w:rsidP="002754C6">
            <w:pPr>
              <w:jc w:val="center"/>
              <w:rPr>
                <w:b/>
                <w:sz w:val="26"/>
                <w:szCs w:val="26"/>
              </w:rPr>
            </w:pPr>
          </w:p>
        </w:tc>
        <w:tc>
          <w:tcPr>
            <w:tcW w:w="2464" w:type="dxa"/>
            <w:tcBorders>
              <w:left w:val="single" w:sz="12" w:space="0" w:color="auto"/>
              <w:right w:val="single" w:sz="12" w:space="0" w:color="auto"/>
            </w:tcBorders>
            <w:vAlign w:val="center"/>
          </w:tcPr>
          <w:p w14:paraId="187A9844" w14:textId="77777777" w:rsidR="002754C6" w:rsidRDefault="002754C6" w:rsidP="002754C6">
            <w:r>
              <w:t>стагнация</w:t>
            </w:r>
          </w:p>
        </w:tc>
        <w:tc>
          <w:tcPr>
            <w:tcW w:w="2465" w:type="dxa"/>
            <w:tcBorders>
              <w:left w:val="single" w:sz="12" w:space="0" w:color="auto"/>
            </w:tcBorders>
            <w:vAlign w:val="center"/>
          </w:tcPr>
          <w:p w14:paraId="32302C4A" w14:textId="77777777" w:rsidR="002754C6" w:rsidRPr="005746A4" w:rsidRDefault="002754C6" w:rsidP="002754C6">
            <w:pPr>
              <w:jc w:val="center"/>
              <w:rPr>
                <w:sz w:val="24"/>
                <w:szCs w:val="24"/>
              </w:rPr>
            </w:pPr>
            <w:r w:rsidRPr="005746A4">
              <w:rPr>
                <w:sz w:val="24"/>
                <w:szCs w:val="24"/>
              </w:rPr>
              <w:t>53,6</w:t>
            </w:r>
          </w:p>
        </w:tc>
      </w:tr>
      <w:tr w:rsidR="002754C6" w14:paraId="4FC1C984" w14:textId="77777777" w:rsidTr="002754C6">
        <w:trPr>
          <w:trHeight w:val="180"/>
        </w:trPr>
        <w:tc>
          <w:tcPr>
            <w:tcW w:w="4928" w:type="dxa"/>
            <w:vMerge/>
            <w:tcBorders>
              <w:left w:val="single" w:sz="12" w:space="0" w:color="auto"/>
              <w:bottom w:val="single" w:sz="12" w:space="0" w:color="auto"/>
              <w:right w:val="single" w:sz="12" w:space="0" w:color="auto"/>
            </w:tcBorders>
            <w:vAlign w:val="center"/>
          </w:tcPr>
          <w:p w14:paraId="4BDD917C" w14:textId="77777777" w:rsidR="002754C6" w:rsidRDefault="002754C6" w:rsidP="002754C6">
            <w:pPr>
              <w:pStyle w:val="af0"/>
              <w:numPr>
                <w:ilvl w:val="0"/>
                <w:numId w:val="7"/>
              </w:numPr>
            </w:pPr>
          </w:p>
        </w:tc>
        <w:tc>
          <w:tcPr>
            <w:tcW w:w="2464" w:type="dxa"/>
            <w:vMerge/>
            <w:tcBorders>
              <w:left w:val="single" w:sz="12" w:space="0" w:color="auto"/>
              <w:bottom w:val="single" w:sz="12" w:space="0" w:color="auto"/>
              <w:right w:val="single" w:sz="12" w:space="0" w:color="auto"/>
            </w:tcBorders>
            <w:vAlign w:val="center"/>
          </w:tcPr>
          <w:p w14:paraId="0E231419" w14:textId="77777777" w:rsidR="002754C6" w:rsidRPr="005746A4" w:rsidRDefault="002754C6" w:rsidP="002754C6">
            <w:pPr>
              <w:jc w:val="center"/>
              <w:rPr>
                <w:b/>
                <w:sz w:val="26"/>
                <w:szCs w:val="26"/>
              </w:rPr>
            </w:pPr>
          </w:p>
        </w:tc>
        <w:tc>
          <w:tcPr>
            <w:tcW w:w="2465" w:type="dxa"/>
            <w:vMerge/>
            <w:tcBorders>
              <w:left w:val="single" w:sz="12" w:space="0" w:color="auto"/>
              <w:bottom w:val="single" w:sz="12" w:space="0" w:color="auto"/>
              <w:right w:val="single" w:sz="12" w:space="0" w:color="auto"/>
            </w:tcBorders>
            <w:vAlign w:val="center"/>
          </w:tcPr>
          <w:p w14:paraId="72C6B295" w14:textId="77777777" w:rsidR="002754C6" w:rsidRPr="005746A4" w:rsidRDefault="002754C6" w:rsidP="002754C6">
            <w:pPr>
              <w:jc w:val="center"/>
              <w:rPr>
                <w:b/>
                <w:sz w:val="26"/>
                <w:szCs w:val="26"/>
              </w:rPr>
            </w:pPr>
          </w:p>
        </w:tc>
        <w:tc>
          <w:tcPr>
            <w:tcW w:w="2464" w:type="dxa"/>
            <w:tcBorders>
              <w:left w:val="single" w:sz="12" w:space="0" w:color="auto"/>
              <w:bottom w:val="single" w:sz="12" w:space="0" w:color="auto"/>
              <w:right w:val="single" w:sz="12" w:space="0" w:color="auto"/>
            </w:tcBorders>
            <w:vAlign w:val="center"/>
          </w:tcPr>
          <w:p w14:paraId="4BBE047A" w14:textId="77777777" w:rsidR="002754C6" w:rsidRDefault="002754C6" w:rsidP="002754C6">
            <w:r>
              <w:t>спад</w:t>
            </w:r>
          </w:p>
        </w:tc>
        <w:tc>
          <w:tcPr>
            <w:tcW w:w="2465" w:type="dxa"/>
            <w:tcBorders>
              <w:left w:val="single" w:sz="12" w:space="0" w:color="auto"/>
              <w:bottom w:val="single" w:sz="12" w:space="0" w:color="auto"/>
            </w:tcBorders>
            <w:vAlign w:val="center"/>
          </w:tcPr>
          <w:p w14:paraId="53BE8A05" w14:textId="77777777" w:rsidR="002754C6" w:rsidRPr="005746A4" w:rsidRDefault="002754C6" w:rsidP="002754C6">
            <w:pPr>
              <w:jc w:val="center"/>
              <w:rPr>
                <w:sz w:val="24"/>
                <w:szCs w:val="24"/>
              </w:rPr>
            </w:pPr>
            <w:r w:rsidRPr="005746A4">
              <w:rPr>
                <w:sz w:val="24"/>
                <w:szCs w:val="24"/>
              </w:rPr>
              <w:t>35,2</w:t>
            </w:r>
          </w:p>
        </w:tc>
      </w:tr>
      <w:tr w:rsidR="002754C6" w14:paraId="1CC4221F" w14:textId="77777777" w:rsidTr="002754C6">
        <w:trPr>
          <w:trHeight w:val="180"/>
        </w:trPr>
        <w:tc>
          <w:tcPr>
            <w:tcW w:w="4928" w:type="dxa"/>
            <w:vMerge w:val="restart"/>
            <w:tcBorders>
              <w:top w:val="single" w:sz="12" w:space="0" w:color="auto"/>
              <w:left w:val="single" w:sz="12" w:space="0" w:color="auto"/>
              <w:right w:val="single" w:sz="12" w:space="0" w:color="auto"/>
            </w:tcBorders>
            <w:vAlign w:val="center"/>
          </w:tcPr>
          <w:p w14:paraId="585CB5C7" w14:textId="77777777" w:rsidR="002754C6" w:rsidRDefault="002754C6" w:rsidP="002754C6">
            <w:pPr>
              <w:pStyle w:val="af0"/>
              <w:numPr>
                <w:ilvl w:val="0"/>
                <w:numId w:val="7"/>
              </w:numPr>
            </w:pPr>
            <w:r>
              <w:t>Мобилизационный (</w:t>
            </w:r>
            <w:r w:rsidRPr="00125B44">
              <w:t>“</w:t>
            </w:r>
            <w:r>
              <w:t>Закручивание гаек</w:t>
            </w:r>
            <w:r w:rsidRPr="00125B44">
              <w:t>”</w:t>
            </w:r>
            <w:r>
              <w:t xml:space="preserve">)    </w:t>
            </w:r>
          </w:p>
        </w:tc>
        <w:tc>
          <w:tcPr>
            <w:tcW w:w="2464" w:type="dxa"/>
            <w:vMerge w:val="restart"/>
            <w:tcBorders>
              <w:top w:val="single" w:sz="12" w:space="0" w:color="auto"/>
              <w:left w:val="single" w:sz="12" w:space="0" w:color="auto"/>
              <w:right w:val="single" w:sz="12" w:space="0" w:color="auto"/>
            </w:tcBorders>
            <w:vAlign w:val="center"/>
          </w:tcPr>
          <w:p w14:paraId="77B6718D" w14:textId="77777777" w:rsidR="002754C6" w:rsidRPr="005746A4" w:rsidRDefault="002754C6" w:rsidP="002754C6">
            <w:pPr>
              <w:jc w:val="center"/>
              <w:rPr>
                <w:b/>
                <w:sz w:val="26"/>
                <w:szCs w:val="26"/>
              </w:rPr>
            </w:pPr>
            <w:r w:rsidRPr="005746A4">
              <w:rPr>
                <w:b/>
                <w:sz w:val="26"/>
                <w:szCs w:val="26"/>
              </w:rPr>
              <w:t>28,3</w:t>
            </w:r>
          </w:p>
        </w:tc>
        <w:tc>
          <w:tcPr>
            <w:tcW w:w="2465" w:type="dxa"/>
            <w:vMerge w:val="restart"/>
            <w:tcBorders>
              <w:top w:val="single" w:sz="12" w:space="0" w:color="auto"/>
              <w:left w:val="single" w:sz="12" w:space="0" w:color="auto"/>
              <w:right w:val="single" w:sz="12" w:space="0" w:color="auto"/>
            </w:tcBorders>
            <w:vAlign w:val="center"/>
          </w:tcPr>
          <w:p w14:paraId="2D2F1B65" w14:textId="77777777" w:rsidR="002754C6" w:rsidRPr="005746A4" w:rsidRDefault="002754C6" w:rsidP="002754C6">
            <w:pPr>
              <w:jc w:val="center"/>
              <w:rPr>
                <w:b/>
                <w:sz w:val="26"/>
                <w:szCs w:val="26"/>
              </w:rPr>
            </w:pPr>
            <w:r w:rsidRPr="005746A4">
              <w:rPr>
                <w:b/>
                <w:sz w:val="26"/>
                <w:szCs w:val="26"/>
              </w:rPr>
              <w:t>12</w:t>
            </w:r>
          </w:p>
        </w:tc>
        <w:tc>
          <w:tcPr>
            <w:tcW w:w="2464" w:type="dxa"/>
            <w:tcBorders>
              <w:top w:val="single" w:sz="12" w:space="0" w:color="auto"/>
              <w:left w:val="single" w:sz="12" w:space="0" w:color="auto"/>
              <w:right w:val="single" w:sz="12" w:space="0" w:color="auto"/>
            </w:tcBorders>
            <w:vAlign w:val="center"/>
          </w:tcPr>
          <w:p w14:paraId="033ABE32" w14:textId="77777777" w:rsidR="002754C6" w:rsidRDefault="002754C6" w:rsidP="002754C6">
            <w:r>
              <w:t>подъем</w:t>
            </w:r>
          </w:p>
        </w:tc>
        <w:tc>
          <w:tcPr>
            <w:tcW w:w="2465" w:type="dxa"/>
            <w:tcBorders>
              <w:top w:val="single" w:sz="12" w:space="0" w:color="auto"/>
              <w:left w:val="single" w:sz="12" w:space="0" w:color="auto"/>
            </w:tcBorders>
            <w:vAlign w:val="center"/>
          </w:tcPr>
          <w:p w14:paraId="7F9F4918" w14:textId="77777777" w:rsidR="002754C6" w:rsidRPr="005746A4" w:rsidRDefault="002754C6" w:rsidP="002754C6">
            <w:pPr>
              <w:jc w:val="center"/>
              <w:rPr>
                <w:sz w:val="24"/>
                <w:szCs w:val="24"/>
              </w:rPr>
            </w:pPr>
            <w:r w:rsidRPr="005746A4">
              <w:rPr>
                <w:sz w:val="24"/>
                <w:szCs w:val="24"/>
              </w:rPr>
              <w:t>8,0</w:t>
            </w:r>
          </w:p>
        </w:tc>
      </w:tr>
      <w:tr w:rsidR="002754C6" w14:paraId="2E11F939" w14:textId="77777777" w:rsidTr="002754C6">
        <w:trPr>
          <w:trHeight w:val="180"/>
        </w:trPr>
        <w:tc>
          <w:tcPr>
            <w:tcW w:w="4928" w:type="dxa"/>
            <w:vMerge/>
            <w:tcBorders>
              <w:left w:val="single" w:sz="12" w:space="0" w:color="auto"/>
              <w:right w:val="single" w:sz="12" w:space="0" w:color="auto"/>
            </w:tcBorders>
            <w:vAlign w:val="center"/>
          </w:tcPr>
          <w:p w14:paraId="2B5DC82B" w14:textId="77777777" w:rsidR="002754C6" w:rsidRPr="00125B44" w:rsidRDefault="002754C6" w:rsidP="002754C6">
            <w:pPr>
              <w:pStyle w:val="af0"/>
              <w:numPr>
                <w:ilvl w:val="0"/>
                <w:numId w:val="7"/>
              </w:numPr>
            </w:pPr>
          </w:p>
        </w:tc>
        <w:tc>
          <w:tcPr>
            <w:tcW w:w="2464" w:type="dxa"/>
            <w:vMerge/>
            <w:tcBorders>
              <w:left w:val="single" w:sz="12" w:space="0" w:color="auto"/>
              <w:right w:val="single" w:sz="12" w:space="0" w:color="auto"/>
            </w:tcBorders>
            <w:vAlign w:val="center"/>
          </w:tcPr>
          <w:p w14:paraId="47D4E958" w14:textId="77777777" w:rsidR="002754C6" w:rsidRPr="005746A4" w:rsidRDefault="002754C6" w:rsidP="002754C6">
            <w:pPr>
              <w:jc w:val="center"/>
              <w:rPr>
                <w:b/>
                <w:sz w:val="26"/>
                <w:szCs w:val="26"/>
              </w:rPr>
            </w:pPr>
          </w:p>
        </w:tc>
        <w:tc>
          <w:tcPr>
            <w:tcW w:w="2465" w:type="dxa"/>
            <w:vMerge/>
            <w:tcBorders>
              <w:left w:val="single" w:sz="12" w:space="0" w:color="auto"/>
              <w:right w:val="single" w:sz="12" w:space="0" w:color="auto"/>
            </w:tcBorders>
            <w:vAlign w:val="center"/>
          </w:tcPr>
          <w:p w14:paraId="4E08B8FF" w14:textId="77777777" w:rsidR="002754C6" w:rsidRPr="005746A4" w:rsidRDefault="002754C6" w:rsidP="002754C6">
            <w:pPr>
              <w:jc w:val="center"/>
              <w:rPr>
                <w:b/>
                <w:sz w:val="26"/>
                <w:szCs w:val="26"/>
              </w:rPr>
            </w:pPr>
          </w:p>
        </w:tc>
        <w:tc>
          <w:tcPr>
            <w:tcW w:w="2464" w:type="dxa"/>
            <w:tcBorders>
              <w:left w:val="single" w:sz="12" w:space="0" w:color="auto"/>
              <w:right w:val="single" w:sz="12" w:space="0" w:color="auto"/>
            </w:tcBorders>
            <w:vAlign w:val="center"/>
          </w:tcPr>
          <w:p w14:paraId="3FADFB48" w14:textId="77777777" w:rsidR="002754C6" w:rsidRDefault="002754C6" w:rsidP="002754C6">
            <w:r>
              <w:t>стагнация</w:t>
            </w:r>
          </w:p>
        </w:tc>
        <w:tc>
          <w:tcPr>
            <w:tcW w:w="2465" w:type="dxa"/>
            <w:tcBorders>
              <w:left w:val="single" w:sz="12" w:space="0" w:color="auto"/>
            </w:tcBorders>
            <w:vAlign w:val="center"/>
          </w:tcPr>
          <w:p w14:paraId="108DE189" w14:textId="77777777" w:rsidR="002754C6" w:rsidRPr="005746A4" w:rsidRDefault="002754C6" w:rsidP="002754C6">
            <w:pPr>
              <w:jc w:val="center"/>
              <w:rPr>
                <w:sz w:val="24"/>
                <w:szCs w:val="24"/>
              </w:rPr>
            </w:pPr>
            <w:r w:rsidRPr="005746A4">
              <w:rPr>
                <w:sz w:val="24"/>
                <w:szCs w:val="24"/>
              </w:rPr>
              <w:t>34,8</w:t>
            </w:r>
          </w:p>
        </w:tc>
      </w:tr>
      <w:tr w:rsidR="002754C6" w14:paraId="7081404D" w14:textId="77777777" w:rsidTr="002754C6">
        <w:trPr>
          <w:trHeight w:val="180"/>
        </w:trPr>
        <w:tc>
          <w:tcPr>
            <w:tcW w:w="4928" w:type="dxa"/>
            <w:vMerge/>
            <w:tcBorders>
              <w:left w:val="single" w:sz="12" w:space="0" w:color="auto"/>
              <w:bottom w:val="single" w:sz="12" w:space="0" w:color="auto"/>
              <w:right w:val="single" w:sz="12" w:space="0" w:color="auto"/>
            </w:tcBorders>
            <w:vAlign w:val="center"/>
          </w:tcPr>
          <w:p w14:paraId="0292B8E2" w14:textId="77777777" w:rsidR="002754C6" w:rsidRPr="00125B44" w:rsidRDefault="002754C6" w:rsidP="002754C6">
            <w:pPr>
              <w:pStyle w:val="af0"/>
              <w:numPr>
                <w:ilvl w:val="0"/>
                <w:numId w:val="7"/>
              </w:numPr>
            </w:pPr>
          </w:p>
        </w:tc>
        <w:tc>
          <w:tcPr>
            <w:tcW w:w="2464" w:type="dxa"/>
            <w:vMerge/>
            <w:tcBorders>
              <w:left w:val="single" w:sz="12" w:space="0" w:color="auto"/>
              <w:bottom w:val="single" w:sz="12" w:space="0" w:color="auto"/>
              <w:right w:val="single" w:sz="12" w:space="0" w:color="auto"/>
            </w:tcBorders>
            <w:vAlign w:val="center"/>
          </w:tcPr>
          <w:p w14:paraId="51CB59EB" w14:textId="77777777" w:rsidR="002754C6" w:rsidRPr="005746A4" w:rsidRDefault="002754C6" w:rsidP="002754C6">
            <w:pPr>
              <w:jc w:val="center"/>
              <w:rPr>
                <w:b/>
                <w:sz w:val="26"/>
                <w:szCs w:val="26"/>
              </w:rPr>
            </w:pPr>
          </w:p>
        </w:tc>
        <w:tc>
          <w:tcPr>
            <w:tcW w:w="2465" w:type="dxa"/>
            <w:vMerge/>
            <w:tcBorders>
              <w:left w:val="single" w:sz="12" w:space="0" w:color="auto"/>
              <w:bottom w:val="single" w:sz="12" w:space="0" w:color="auto"/>
              <w:right w:val="single" w:sz="12" w:space="0" w:color="auto"/>
            </w:tcBorders>
            <w:vAlign w:val="center"/>
          </w:tcPr>
          <w:p w14:paraId="01455F79" w14:textId="77777777" w:rsidR="002754C6" w:rsidRPr="005746A4" w:rsidRDefault="002754C6" w:rsidP="002754C6">
            <w:pPr>
              <w:jc w:val="center"/>
              <w:rPr>
                <w:b/>
                <w:sz w:val="26"/>
                <w:szCs w:val="26"/>
              </w:rPr>
            </w:pPr>
          </w:p>
        </w:tc>
        <w:tc>
          <w:tcPr>
            <w:tcW w:w="2464" w:type="dxa"/>
            <w:tcBorders>
              <w:left w:val="single" w:sz="12" w:space="0" w:color="auto"/>
              <w:bottom w:val="single" w:sz="12" w:space="0" w:color="auto"/>
              <w:right w:val="single" w:sz="12" w:space="0" w:color="auto"/>
            </w:tcBorders>
            <w:vAlign w:val="center"/>
          </w:tcPr>
          <w:p w14:paraId="5D6C59EE" w14:textId="77777777" w:rsidR="002754C6" w:rsidRDefault="002754C6" w:rsidP="002754C6">
            <w:r>
              <w:t>спад</w:t>
            </w:r>
          </w:p>
        </w:tc>
        <w:tc>
          <w:tcPr>
            <w:tcW w:w="2465" w:type="dxa"/>
            <w:tcBorders>
              <w:left w:val="single" w:sz="12" w:space="0" w:color="auto"/>
              <w:bottom w:val="single" w:sz="12" w:space="0" w:color="auto"/>
            </w:tcBorders>
            <w:vAlign w:val="center"/>
          </w:tcPr>
          <w:p w14:paraId="20C2E96A" w14:textId="77777777" w:rsidR="002754C6" w:rsidRPr="005746A4" w:rsidRDefault="002754C6" w:rsidP="002754C6">
            <w:pPr>
              <w:jc w:val="center"/>
              <w:rPr>
                <w:sz w:val="24"/>
                <w:szCs w:val="24"/>
              </w:rPr>
            </w:pPr>
            <w:r w:rsidRPr="005746A4">
              <w:rPr>
                <w:sz w:val="24"/>
                <w:szCs w:val="24"/>
              </w:rPr>
              <w:t>57,3</w:t>
            </w:r>
          </w:p>
        </w:tc>
      </w:tr>
      <w:tr w:rsidR="002754C6" w14:paraId="46ACAD31" w14:textId="77777777" w:rsidTr="002754C6">
        <w:trPr>
          <w:trHeight w:val="270"/>
        </w:trPr>
        <w:tc>
          <w:tcPr>
            <w:tcW w:w="4928" w:type="dxa"/>
            <w:vMerge w:val="restart"/>
            <w:tcBorders>
              <w:top w:val="single" w:sz="12" w:space="0" w:color="auto"/>
              <w:left w:val="single" w:sz="12" w:space="0" w:color="auto"/>
              <w:right w:val="single" w:sz="12" w:space="0" w:color="auto"/>
            </w:tcBorders>
            <w:vAlign w:val="center"/>
          </w:tcPr>
          <w:p w14:paraId="298CBE0A" w14:textId="26032985" w:rsidR="002754C6" w:rsidRDefault="002754C6" w:rsidP="00507B49">
            <w:pPr>
              <w:pStyle w:val="af0"/>
              <w:numPr>
                <w:ilvl w:val="0"/>
                <w:numId w:val="7"/>
              </w:numPr>
            </w:pPr>
            <w:r>
              <w:t>Решительный рывок (быстрые и радикальные изменения)</w:t>
            </w:r>
          </w:p>
        </w:tc>
        <w:tc>
          <w:tcPr>
            <w:tcW w:w="2464" w:type="dxa"/>
            <w:vMerge w:val="restart"/>
            <w:tcBorders>
              <w:top w:val="single" w:sz="12" w:space="0" w:color="auto"/>
              <w:left w:val="single" w:sz="12" w:space="0" w:color="auto"/>
              <w:right w:val="single" w:sz="12" w:space="0" w:color="auto"/>
            </w:tcBorders>
            <w:vAlign w:val="center"/>
          </w:tcPr>
          <w:p w14:paraId="1763470C" w14:textId="77777777" w:rsidR="002754C6" w:rsidRPr="005746A4" w:rsidRDefault="002754C6" w:rsidP="002754C6">
            <w:pPr>
              <w:jc w:val="center"/>
              <w:rPr>
                <w:b/>
                <w:sz w:val="26"/>
                <w:szCs w:val="26"/>
              </w:rPr>
            </w:pPr>
            <w:r w:rsidRPr="005746A4">
              <w:rPr>
                <w:b/>
                <w:sz w:val="26"/>
                <w:szCs w:val="26"/>
              </w:rPr>
              <w:t>6,7</w:t>
            </w:r>
          </w:p>
        </w:tc>
        <w:tc>
          <w:tcPr>
            <w:tcW w:w="2465" w:type="dxa"/>
            <w:vMerge w:val="restart"/>
            <w:tcBorders>
              <w:top w:val="single" w:sz="12" w:space="0" w:color="auto"/>
              <w:left w:val="single" w:sz="12" w:space="0" w:color="auto"/>
              <w:right w:val="single" w:sz="12" w:space="0" w:color="auto"/>
            </w:tcBorders>
            <w:vAlign w:val="center"/>
          </w:tcPr>
          <w:p w14:paraId="56A960CA" w14:textId="77777777" w:rsidR="002754C6" w:rsidRPr="00F36651" w:rsidRDefault="002754C6" w:rsidP="002754C6">
            <w:pPr>
              <w:jc w:val="center"/>
              <w:rPr>
                <w:b/>
                <w:sz w:val="26"/>
                <w:szCs w:val="26"/>
                <w:lang w:val="en-US"/>
              </w:rPr>
            </w:pPr>
            <w:r w:rsidRPr="005746A4">
              <w:rPr>
                <w:b/>
                <w:sz w:val="26"/>
                <w:szCs w:val="26"/>
              </w:rPr>
              <w:t>7</w:t>
            </w:r>
            <w:r>
              <w:rPr>
                <w:b/>
                <w:sz w:val="26"/>
                <w:szCs w:val="26"/>
                <w:lang w:val="en-US"/>
              </w:rPr>
              <w:t>0</w:t>
            </w:r>
          </w:p>
        </w:tc>
        <w:tc>
          <w:tcPr>
            <w:tcW w:w="2464" w:type="dxa"/>
            <w:tcBorders>
              <w:top w:val="single" w:sz="12" w:space="0" w:color="auto"/>
              <w:left w:val="single" w:sz="12" w:space="0" w:color="auto"/>
              <w:right w:val="single" w:sz="12" w:space="0" w:color="auto"/>
            </w:tcBorders>
            <w:vAlign w:val="center"/>
          </w:tcPr>
          <w:p w14:paraId="3AF2FF86" w14:textId="77777777" w:rsidR="002754C6" w:rsidRDefault="002754C6" w:rsidP="002754C6">
            <w:r>
              <w:t>подъем</w:t>
            </w:r>
          </w:p>
        </w:tc>
        <w:tc>
          <w:tcPr>
            <w:tcW w:w="2465" w:type="dxa"/>
            <w:tcBorders>
              <w:top w:val="single" w:sz="12" w:space="0" w:color="auto"/>
              <w:left w:val="single" w:sz="12" w:space="0" w:color="auto"/>
            </w:tcBorders>
            <w:vAlign w:val="center"/>
          </w:tcPr>
          <w:p w14:paraId="17417EDD" w14:textId="77777777" w:rsidR="002754C6" w:rsidRPr="005746A4" w:rsidRDefault="002754C6" w:rsidP="002754C6">
            <w:pPr>
              <w:jc w:val="center"/>
              <w:rPr>
                <w:sz w:val="24"/>
                <w:szCs w:val="24"/>
              </w:rPr>
            </w:pPr>
            <w:r w:rsidRPr="005746A4">
              <w:rPr>
                <w:sz w:val="24"/>
                <w:szCs w:val="24"/>
              </w:rPr>
              <w:t>52,9</w:t>
            </w:r>
          </w:p>
        </w:tc>
      </w:tr>
      <w:tr w:rsidR="002754C6" w14:paraId="6809AA1D" w14:textId="77777777" w:rsidTr="002754C6">
        <w:trPr>
          <w:trHeight w:val="270"/>
        </w:trPr>
        <w:tc>
          <w:tcPr>
            <w:tcW w:w="4928" w:type="dxa"/>
            <w:vMerge/>
            <w:tcBorders>
              <w:left w:val="single" w:sz="12" w:space="0" w:color="auto"/>
              <w:right w:val="single" w:sz="12" w:space="0" w:color="auto"/>
            </w:tcBorders>
            <w:vAlign w:val="center"/>
          </w:tcPr>
          <w:p w14:paraId="697D0086" w14:textId="77777777" w:rsidR="002754C6" w:rsidRDefault="002754C6" w:rsidP="002754C6">
            <w:pPr>
              <w:pStyle w:val="af0"/>
              <w:numPr>
                <w:ilvl w:val="0"/>
                <w:numId w:val="7"/>
              </w:numPr>
            </w:pPr>
          </w:p>
        </w:tc>
        <w:tc>
          <w:tcPr>
            <w:tcW w:w="2464" w:type="dxa"/>
            <w:vMerge/>
            <w:tcBorders>
              <w:left w:val="single" w:sz="12" w:space="0" w:color="auto"/>
              <w:right w:val="single" w:sz="12" w:space="0" w:color="auto"/>
            </w:tcBorders>
            <w:vAlign w:val="center"/>
          </w:tcPr>
          <w:p w14:paraId="7B89F8B5" w14:textId="77777777" w:rsidR="002754C6" w:rsidRPr="005746A4" w:rsidRDefault="002754C6" w:rsidP="002754C6">
            <w:pPr>
              <w:jc w:val="center"/>
              <w:rPr>
                <w:b/>
                <w:sz w:val="26"/>
                <w:szCs w:val="26"/>
              </w:rPr>
            </w:pPr>
          </w:p>
        </w:tc>
        <w:tc>
          <w:tcPr>
            <w:tcW w:w="2465" w:type="dxa"/>
            <w:vMerge/>
            <w:tcBorders>
              <w:left w:val="single" w:sz="12" w:space="0" w:color="auto"/>
              <w:right w:val="single" w:sz="12" w:space="0" w:color="auto"/>
            </w:tcBorders>
            <w:vAlign w:val="center"/>
          </w:tcPr>
          <w:p w14:paraId="77172466" w14:textId="77777777" w:rsidR="002754C6" w:rsidRPr="005746A4" w:rsidRDefault="002754C6" w:rsidP="002754C6">
            <w:pPr>
              <w:jc w:val="center"/>
              <w:rPr>
                <w:b/>
                <w:sz w:val="26"/>
                <w:szCs w:val="26"/>
              </w:rPr>
            </w:pPr>
          </w:p>
        </w:tc>
        <w:tc>
          <w:tcPr>
            <w:tcW w:w="2464" w:type="dxa"/>
            <w:tcBorders>
              <w:left w:val="single" w:sz="12" w:space="0" w:color="auto"/>
              <w:right w:val="single" w:sz="12" w:space="0" w:color="auto"/>
            </w:tcBorders>
            <w:vAlign w:val="center"/>
          </w:tcPr>
          <w:p w14:paraId="4DDC4594" w14:textId="77777777" w:rsidR="002754C6" w:rsidRDefault="002754C6" w:rsidP="002754C6">
            <w:r>
              <w:t>стагнация</w:t>
            </w:r>
          </w:p>
        </w:tc>
        <w:tc>
          <w:tcPr>
            <w:tcW w:w="2465" w:type="dxa"/>
            <w:tcBorders>
              <w:left w:val="single" w:sz="12" w:space="0" w:color="auto"/>
            </w:tcBorders>
            <w:vAlign w:val="center"/>
          </w:tcPr>
          <w:p w14:paraId="16662798" w14:textId="77777777" w:rsidR="002754C6" w:rsidRPr="005746A4" w:rsidRDefault="002754C6" w:rsidP="002754C6">
            <w:pPr>
              <w:jc w:val="center"/>
              <w:rPr>
                <w:sz w:val="24"/>
                <w:szCs w:val="24"/>
              </w:rPr>
            </w:pPr>
            <w:r w:rsidRPr="005746A4">
              <w:rPr>
                <w:sz w:val="24"/>
                <w:szCs w:val="24"/>
              </w:rPr>
              <w:t>22,7</w:t>
            </w:r>
          </w:p>
        </w:tc>
      </w:tr>
      <w:tr w:rsidR="002754C6" w14:paraId="76A71FBD" w14:textId="77777777" w:rsidTr="002754C6">
        <w:trPr>
          <w:trHeight w:val="270"/>
        </w:trPr>
        <w:tc>
          <w:tcPr>
            <w:tcW w:w="4928" w:type="dxa"/>
            <w:vMerge/>
            <w:tcBorders>
              <w:left w:val="single" w:sz="12" w:space="0" w:color="auto"/>
              <w:bottom w:val="single" w:sz="12" w:space="0" w:color="auto"/>
              <w:right w:val="single" w:sz="12" w:space="0" w:color="auto"/>
            </w:tcBorders>
            <w:vAlign w:val="center"/>
          </w:tcPr>
          <w:p w14:paraId="55D007B4" w14:textId="77777777" w:rsidR="002754C6" w:rsidRDefault="002754C6" w:rsidP="002754C6">
            <w:pPr>
              <w:pStyle w:val="af0"/>
              <w:numPr>
                <w:ilvl w:val="0"/>
                <w:numId w:val="7"/>
              </w:numPr>
            </w:pPr>
          </w:p>
        </w:tc>
        <w:tc>
          <w:tcPr>
            <w:tcW w:w="2464" w:type="dxa"/>
            <w:vMerge/>
            <w:tcBorders>
              <w:left w:val="single" w:sz="12" w:space="0" w:color="auto"/>
              <w:bottom w:val="single" w:sz="12" w:space="0" w:color="auto"/>
              <w:right w:val="single" w:sz="12" w:space="0" w:color="auto"/>
            </w:tcBorders>
            <w:vAlign w:val="center"/>
          </w:tcPr>
          <w:p w14:paraId="28C4772F" w14:textId="77777777" w:rsidR="002754C6" w:rsidRPr="005746A4" w:rsidRDefault="002754C6" w:rsidP="002754C6">
            <w:pPr>
              <w:jc w:val="center"/>
              <w:rPr>
                <w:b/>
                <w:sz w:val="26"/>
                <w:szCs w:val="26"/>
              </w:rPr>
            </w:pPr>
          </w:p>
        </w:tc>
        <w:tc>
          <w:tcPr>
            <w:tcW w:w="2465" w:type="dxa"/>
            <w:vMerge/>
            <w:tcBorders>
              <w:left w:val="single" w:sz="12" w:space="0" w:color="auto"/>
              <w:bottom w:val="single" w:sz="12" w:space="0" w:color="auto"/>
              <w:right w:val="single" w:sz="12" w:space="0" w:color="auto"/>
            </w:tcBorders>
            <w:vAlign w:val="center"/>
          </w:tcPr>
          <w:p w14:paraId="141D040B" w14:textId="77777777" w:rsidR="002754C6" w:rsidRPr="005746A4" w:rsidRDefault="002754C6" w:rsidP="002754C6">
            <w:pPr>
              <w:jc w:val="center"/>
              <w:rPr>
                <w:b/>
                <w:sz w:val="26"/>
                <w:szCs w:val="26"/>
              </w:rPr>
            </w:pPr>
          </w:p>
        </w:tc>
        <w:tc>
          <w:tcPr>
            <w:tcW w:w="2464" w:type="dxa"/>
            <w:tcBorders>
              <w:left w:val="single" w:sz="12" w:space="0" w:color="auto"/>
              <w:bottom w:val="single" w:sz="12" w:space="0" w:color="auto"/>
              <w:right w:val="single" w:sz="12" w:space="0" w:color="auto"/>
            </w:tcBorders>
            <w:vAlign w:val="center"/>
          </w:tcPr>
          <w:p w14:paraId="3830D5CA" w14:textId="77777777" w:rsidR="002754C6" w:rsidRDefault="002754C6" w:rsidP="002754C6">
            <w:r>
              <w:t>спад</w:t>
            </w:r>
          </w:p>
        </w:tc>
        <w:tc>
          <w:tcPr>
            <w:tcW w:w="2465" w:type="dxa"/>
            <w:tcBorders>
              <w:left w:val="single" w:sz="12" w:space="0" w:color="auto"/>
              <w:bottom w:val="single" w:sz="12" w:space="0" w:color="auto"/>
            </w:tcBorders>
            <w:vAlign w:val="center"/>
          </w:tcPr>
          <w:p w14:paraId="44867E46" w14:textId="77777777" w:rsidR="002754C6" w:rsidRPr="005746A4" w:rsidRDefault="002754C6" w:rsidP="002754C6">
            <w:pPr>
              <w:jc w:val="center"/>
              <w:rPr>
                <w:sz w:val="24"/>
                <w:szCs w:val="24"/>
              </w:rPr>
            </w:pPr>
            <w:r w:rsidRPr="005746A4">
              <w:rPr>
                <w:sz w:val="24"/>
                <w:szCs w:val="24"/>
              </w:rPr>
              <w:t>24,4</w:t>
            </w:r>
          </w:p>
        </w:tc>
      </w:tr>
      <w:tr w:rsidR="002754C6" w14:paraId="1F167053" w14:textId="77777777" w:rsidTr="002754C6">
        <w:trPr>
          <w:trHeight w:val="270"/>
        </w:trPr>
        <w:tc>
          <w:tcPr>
            <w:tcW w:w="4928" w:type="dxa"/>
            <w:vMerge w:val="restart"/>
            <w:tcBorders>
              <w:top w:val="single" w:sz="12" w:space="0" w:color="auto"/>
              <w:left w:val="single" w:sz="12" w:space="0" w:color="auto"/>
              <w:right w:val="single" w:sz="12" w:space="0" w:color="auto"/>
            </w:tcBorders>
            <w:vAlign w:val="center"/>
          </w:tcPr>
          <w:p w14:paraId="04798D79" w14:textId="77777777" w:rsidR="002754C6" w:rsidRDefault="002754C6" w:rsidP="002754C6">
            <w:pPr>
              <w:pStyle w:val="af0"/>
              <w:numPr>
                <w:ilvl w:val="0"/>
                <w:numId w:val="7"/>
              </w:numPr>
            </w:pPr>
            <w:r>
              <w:t xml:space="preserve">Постепенное развитие </w:t>
            </w:r>
          </w:p>
        </w:tc>
        <w:tc>
          <w:tcPr>
            <w:tcW w:w="2464" w:type="dxa"/>
            <w:vMerge w:val="restart"/>
            <w:tcBorders>
              <w:top w:val="single" w:sz="12" w:space="0" w:color="auto"/>
              <w:left w:val="single" w:sz="12" w:space="0" w:color="auto"/>
              <w:right w:val="single" w:sz="12" w:space="0" w:color="auto"/>
            </w:tcBorders>
            <w:vAlign w:val="center"/>
          </w:tcPr>
          <w:p w14:paraId="46351F84" w14:textId="77777777" w:rsidR="002754C6" w:rsidRPr="005746A4" w:rsidRDefault="002754C6" w:rsidP="002754C6">
            <w:pPr>
              <w:jc w:val="center"/>
              <w:rPr>
                <w:b/>
                <w:sz w:val="26"/>
                <w:szCs w:val="26"/>
              </w:rPr>
            </w:pPr>
            <w:r w:rsidRPr="005746A4">
              <w:rPr>
                <w:b/>
                <w:sz w:val="26"/>
                <w:szCs w:val="26"/>
              </w:rPr>
              <w:t>19,6</w:t>
            </w:r>
          </w:p>
        </w:tc>
        <w:tc>
          <w:tcPr>
            <w:tcW w:w="2465" w:type="dxa"/>
            <w:vMerge w:val="restart"/>
            <w:tcBorders>
              <w:top w:val="single" w:sz="12" w:space="0" w:color="auto"/>
              <w:left w:val="single" w:sz="12" w:space="0" w:color="auto"/>
              <w:right w:val="single" w:sz="12" w:space="0" w:color="auto"/>
            </w:tcBorders>
            <w:vAlign w:val="center"/>
          </w:tcPr>
          <w:p w14:paraId="7F06EC82" w14:textId="77777777" w:rsidR="002754C6" w:rsidRPr="005746A4" w:rsidRDefault="002754C6" w:rsidP="002754C6">
            <w:pPr>
              <w:jc w:val="center"/>
              <w:rPr>
                <w:b/>
                <w:sz w:val="26"/>
                <w:szCs w:val="26"/>
              </w:rPr>
            </w:pPr>
            <w:r w:rsidRPr="005746A4">
              <w:rPr>
                <w:b/>
                <w:sz w:val="26"/>
                <w:szCs w:val="26"/>
              </w:rPr>
              <w:t>67</w:t>
            </w:r>
          </w:p>
        </w:tc>
        <w:tc>
          <w:tcPr>
            <w:tcW w:w="2464" w:type="dxa"/>
            <w:tcBorders>
              <w:top w:val="single" w:sz="12" w:space="0" w:color="auto"/>
              <w:left w:val="single" w:sz="12" w:space="0" w:color="auto"/>
              <w:right w:val="single" w:sz="12" w:space="0" w:color="auto"/>
            </w:tcBorders>
            <w:vAlign w:val="center"/>
          </w:tcPr>
          <w:p w14:paraId="47AC2419" w14:textId="77777777" w:rsidR="002754C6" w:rsidRDefault="002754C6" w:rsidP="002754C6">
            <w:r>
              <w:t>подъем</w:t>
            </w:r>
          </w:p>
        </w:tc>
        <w:tc>
          <w:tcPr>
            <w:tcW w:w="2465" w:type="dxa"/>
            <w:tcBorders>
              <w:top w:val="single" w:sz="12" w:space="0" w:color="auto"/>
              <w:left w:val="single" w:sz="12" w:space="0" w:color="auto"/>
            </w:tcBorders>
            <w:vAlign w:val="center"/>
          </w:tcPr>
          <w:p w14:paraId="31F1AA13" w14:textId="77777777" w:rsidR="002754C6" w:rsidRPr="005746A4" w:rsidRDefault="002754C6" w:rsidP="002754C6">
            <w:pPr>
              <w:jc w:val="center"/>
              <w:rPr>
                <w:sz w:val="24"/>
                <w:szCs w:val="24"/>
              </w:rPr>
            </w:pPr>
            <w:r w:rsidRPr="005746A4">
              <w:rPr>
                <w:sz w:val="24"/>
                <w:szCs w:val="24"/>
              </w:rPr>
              <w:t>47,3</w:t>
            </w:r>
          </w:p>
        </w:tc>
      </w:tr>
      <w:tr w:rsidR="002754C6" w14:paraId="24CC85B0" w14:textId="77777777" w:rsidTr="002754C6">
        <w:trPr>
          <w:trHeight w:val="270"/>
        </w:trPr>
        <w:tc>
          <w:tcPr>
            <w:tcW w:w="4928" w:type="dxa"/>
            <w:vMerge/>
            <w:tcBorders>
              <w:left w:val="single" w:sz="12" w:space="0" w:color="auto"/>
              <w:right w:val="single" w:sz="12" w:space="0" w:color="auto"/>
            </w:tcBorders>
            <w:vAlign w:val="center"/>
          </w:tcPr>
          <w:p w14:paraId="3ADFD653" w14:textId="77777777" w:rsidR="002754C6" w:rsidRDefault="002754C6" w:rsidP="002754C6">
            <w:pPr>
              <w:pStyle w:val="af0"/>
              <w:numPr>
                <w:ilvl w:val="0"/>
                <w:numId w:val="7"/>
              </w:numPr>
            </w:pPr>
          </w:p>
        </w:tc>
        <w:tc>
          <w:tcPr>
            <w:tcW w:w="2464" w:type="dxa"/>
            <w:vMerge/>
            <w:tcBorders>
              <w:left w:val="single" w:sz="12" w:space="0" w:color="auto"/>
              <w:right w:val="single" w:sz="12" w:space="0" w:color="auto"/>
            </w:tcBorders>
            <w:vAlign w:val="center"/>
          </w:tcPr>
          <w:p w14:paraId="382E1481" w14:textId="77777777" w:rsidR="002754C6" w:rsidRDefault="002754C6" w:rsidP="002754C6"/>
        </w:tc>
        <w:tc>
          <w:tcPr>
            <w:tcW w:w="2465" w:type="dxa"/>
            <w:vMerge/>
            <w:tcBorders>
              <w:left w:val="single" w:sz="12" w:space="0" w:color="auto"/>
              <w:right w:val="single" w:sz="12" w:space="0" w:color="auto"/>
            </w:tcBorders>
            <w:vAlign w:val="center"/>
          </w:tcPr>
          <w:p w14:paraId="5AD57759" w14:textId="77777777" w:rsidR="002754C6" w:rsidRDefault="002754C6" w:rsidP="002754C6"/>
        </w:tc>
        <w:tc>
          <w:tcPr>
            <w:tcW w:w="2464" w:type="dxa"/>
            <w:tcBorders>
              <w:left w:val="single" w:sz="12" w:space="0" w:color="auto"/>
              <w:right w:val="single" w:sz="12" w:space="0" w:color="auto"/>
            </w:tcBorders>
            <w:vAlign w:val="center"/>
          </w:tcPr>
          <w:p w14:paraId="4A506D0B" w14:textId="77777777" w:rsidR="002754C6" w:rsidRDefault="002754C6" w:rsidP="002754C6">
            <w:r>
              <w:t>стагнация</w:t>
            </w:r>
          </w:p>
        </w:tc>
        <w:tc>
          <w:tcPr>
            <w:tcW w:w="2465" w:type="dxa"/>
            <w:tcBorders>
              <w:left w:val="single" w:sz="12" w:space="0" w:color="auto"/>
            </w:tcBorders>
            <w:vAlign w:val="center"/>
          </w:tcPr>
          <w:p w14:paraId="0A74256D" w14:textId="77777777" w:rsidR="002754C6" w:rsidRPr="005746A4" w:rsidRDefault="002754C6" w:rsidP="002754C6">
            <w:pPr>
              <w:jc w:val="center"/>
              <w:rPr>
                <w:sz w:val="24"/>
                <w:szCs w:val="24"/>
              </w:rPr>
            </w:pPr>
            <w:r w:rsidRPr="005746A4">
              <w:rPr>
                <w:sz w:val="24"/>
                <w:szCs w:val="24"/>
              </w:rPr>
              <w:t>37,0</w:t>
            </w:r>
          </w:p>
        </w:tc>
      </w:tr>
      <w:tr w:rsidR="002754C6" w14:paraId="7C69BC0A" w14:textId="77777777" w:rsidTr="002754C6">
        <w:trPr>
          <w:trHeight w:val="270"/>
        </w:trPr>
        <w:tc>
          <w:tcPr>
            <w:tcW w:w="4928" w:type="dxa"/>
            <w:vMerge/>
            <w:tcBorders>
              <w:left w:val="single" w:sz="12" w:space="0" w:color="auto"/>
              <w:bottom w:val="single" w:sz="12" w:space="0" w:color="auto"/>
              <w:right w:val="single" w:sz="12" w:space="0" w:color="auto"/>
            </w:tcBorders>
            <w:vAlign w:val="center"/>
          </w:tcPr>
          <w:p w14:paraId="55318887" w14:textId="77777777" w:rsidR="002754C6" w:rsidRDefault="002754C6" w:rsidP="002754C6">
            <w:pPr>
              <w:pStyle w:val="af0"/>
              <w:numPr>
                <w:ilvl w:val="0"/>
                <w:numId w:val="7"/>
              </w:numPr>
            </w:pPr>
          </w:p>
        </w:tc>
        <w:tc>
          <w:tcPr>
            <w:tcW w:w="2464" w:type="dxa"/>
            <w:vMerge/>
            <w:tcBorders>
              <w:left w:val="single" w:sz="12" w:space="0" w:color="auto"/>
              <w:bottom w:val="single" w:sz="12" w:space="0" w:color="auto"/>
              <w:right w:val="single" w:sz="12" w:space="0" w:color="auto"/>
            </w:tcBorders>
            <w:vAlign w:val="center"/>
          </w:tcPr>
          <w:p w14:paraId="684F89D8" w14:textId="77777777" w:rsidR="002754C6" w:rsidRDefault="002754C6" w:rsidP="002754C6"/>
        </w:tc>
        <w:tc>
          <w:tcPr>
            <w:tcW w:w="2465" w:type="dxa"/>
            <w:vMerge/>
            <w:tcBorders>
              <w:left w:val="single" w:sz="12" w:space="0" w:color="auto"/>
              <w:bottom w:val="single" w:sz="12" w:space="0" w:color="auto"/>
              <w:right w:val="single" w:sz="12" w:space="0" w:color="auto"/>
            </w:tcBorders>
            <w:vAlign w:val="center"/>
          </w:tcPr>
          <w:p w14:paraId="4E680566" w14:textId="77777777" w:rsidR="002754C6" w:rsidRDefault="002754C6" w:rsidP="002754C6"/>
        </w:tc>
        <w:tc>
          <w:tcPr>
            <w:tcW w:w="2464" w:type="dxa"/>
            <w:tcBorders>
              <w:left w:val="single" w:sz="12" w:space="0" w:color="auto"/>
              <w:bottom w:val="single" w:sz="12" w:space="0" w:color="auto"/>
              <w:right w:val="single" w:sz="12" w:space="0" w:color="auto"/>
            </w:tcBorders>
            <w:vAlign w:val="center"/>
          </w:tcPr>
          <w:p w14:paraId="07A40368" w14:textId="77777777" w:rsidR="002754C6" w:rsidRDefault="002754C6" w:rsidP="002754C6">
            <w:r>
              <w:t>спад</w:t>
            </w:r>
          </w:p>
        </w:tc>
        <w:tc>
          <w:tcPr>
            <w:tcW w:w="2465" w:type="dxa"/>
            <w:tcBorders>
              <w:left w:val="single" w:sz="12" w:space="0" w:color="auto"/>
              <w:bottom w:val="single" w:sz="12" w:space="0" w:color="auto"/>
            </w:tcBorders>
            <w:vAlign w:val="center"/>
          </w:tcPr>
          <w:p w14:paraId="3A236F18" w14:textId="77777777" w:rsidR="002754C6" w:rsidRPr="005746A4" w:rsidRDefault="002754C6" w:rsidP="002754C6">
            <w:pPr>
              <w:jc w:val="center"/>
              <w:rPr>
                <w:sz w:val="24"/>
                <w:szCs w:val="24"/>
              </w:rPr>
            </w:pPr>
            <w:r w:rsidRPr="005746A4">
              <w:rPr>
                <w:sz w:val="24"/>
                <w:szCs w:val="24"/>
              </w:rPr>
              <w:t>15,7</w:t>
            </w:r>
          </w:p>
        </w:tc>
      </w:tr>
    </w:tbl>
    <w:p w14:paraId="7F5FC10B" w14:textId="7F980B01" w:rsidR="002754C6" w:rsidRDefault="00186567" w:rsidP="002754C6">
      <w:pPr>
        <w:rPr>
          <w:rFonts w:ascii="Times New Roman" w:hAnsi="Times New Roman" w:cs="Times New Roman"/>
          <w:sz w:val="24"/>
          <w:szCs w:val="24"/>
        </w:rPr>
        <w:sectPr w:rsidR="002754C6" w:rsidSect="00336403">
          <w:pgSz w:w="16838" w:h="11906" w:orient="landscape"/>
          <w:pgMar w:top="992" w:right="1134" w:bottom="851" w:left="1134" w:header="709" w:footer="709" w:gutter="0"/>
          <w:cols w:space="708"/>
          <w:docGrid w:linePitch="360"/>
        </w:sectPr>
      </w:pPr>
      <w:r w:rsidRPr="00EF4D0D">
        <w:rPr>
          <w:rFonts w:ascii="Times New Roman" w:hAnsi="Times New Roman" w:cs="Times New Roman"/>
          <w:b/>
          <w:sz w:val="24"/>
          <w:szCs w:val="24"/>
        </w:rPr>
        <w:t>Таблица 5</w:t>
      </w:r>
      <w:r w:rsidR="002754C6" w:rsidRPr="00EF4D0D">
        <w:rPr>
          <w:rFonts w:ascii="Times New Roman" w:hAnsi="Times New Roman" w:cs="Times New Roman"/>
          <w:b/>
          <w:sz w:val="24"/>
          <w:szCs w:val="24"/>
        </w:rPr>
        <w:t>.1.Результаты опроса экспертов</w:t>
      </w:r>
      <w:r w:rsidR="002754C6" w:rsidRPr="006D471D">
        <w:rPr>
          <w:rFonts w:ascii="Times New Roman" w:hAnsi="Times New Roman" w:cs="Times New Roman"/>
          <w:b/>
          <w:sz w:val="24"/>
          <w:szCs w:val="24"/>
        </w:rPr>
        <w:t xml:space="preserve"> </w:t>
      </w:r>
      <w:r w:rsidR="002754C6">
        <w:rPr>
          <w:rFonts w:ascii="Times New Roman" w:hAnsi="Times New Roman" w:cs="Times New Roman"/>
          <w:b/>
          <w:sz w:val="24"/>
          <w:szCs w:val="24"/>
        </w:rPr>
        <w:t>(о</w:t>
      </w:r>
      <w:r w:rsidR="002754C6" w:rsidRPr="00B01B51">
        <w:rPr>
          <w:rFonts w:ascii="Times New Roman" w:hAnsi="Times New Roman" w:cs="Times New Roman"/>
          <w:b/>
          <w:sz w:val="24"/>
          <w:szCs w:val="24"/>
        </w:rPr>
        <w:t>прошено – 32 человека</w:t>
      </w:r>
      <w:r w:rsidR="002754C6">
        <w:rPr>
          <w:rFonts w:ascii="Times New Roman" w:hAnsi="Times New Roman" w:cs="Times New Roman"/>
          <w:b/>
          <w:sz w:val="24"/>
          <w:szCs w:val="24"/>
        </w:rPr>
        <w:t>)</w:t>
      </w:r>
      <w:r w:rsidR="002754C6">
        <w:rPr>
          <w:rFonts w:ascii="Times New Roman" w:hAnsi="Times New Roman" w:cs="Times New Roman"/>
          <w:sz w:val="24"/>
          <w:szCs w:val="24"/>
        </w:rPr>
        <w:t xml:space="preserve"> </w:t>
      </w:r>
    </w:p>
    <w:p w14:paraId="177DB51D" w14:textId="414C532B" w:rsidR="002754C6" w:rsidRPr="00EF4D0D" w:rsidRDefault="00A82732" w:rsidP="00186567">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Вместо заключения</w:t>
      </w:r>
    </w:p>
    <w:p w14:paraId="5566675E" w14:textId="77777777" w:rsidR="002754C6" w:rsidRPr="002A134C" w:rsidRDefault="002754C6" w:rsidP="00186567">
      <w:pPr>
        <w:spacing w:line="360" w:lineRule="auto"/>
        <w:ind w:firstLine="709"/>
        <w:jc w:val="both"/>
        <w:rPr>
          <w:rFonts w:ascii="Times New Roman" w:hAnsi="Times New Roman" w:cs="Times New Roman"/>
          <w:sz w:val="24"/>
          <w:szCs w:val="24"/>
        </w:rPr>
      </w:pPr>
      <w:r w:rsidRPr="002A134C">
        <w:rPr>
          <w:rFonts w:ascii="Times New Roman" w:hAnsi="Times New Roman" w:cs="Times New Roman"/>
          <w:sz w:val="24"/>
          <w:szCs w:val="24"/>
        </w:rPr>
        <w:t>Веер возможностей, которые предоставляет будущее, не поддается однозначным отгадкам. Предлагая выбор из некоторого числа сценариев, мы надеемся понизить неопределенность и дать какие-то ориентиры для тех, кто сегодня принимает решения – для себя, для семьи, для бизнеса или для страны.</w:t>
      </w:r>
    </w:p>
    <w:p w14:paraId="5498572A" w14:textId="77777777" w:rsidR="002754C6" w:rsidRPr="002A134C" w:rsidRDefault="002754C6" w:rsidP="00186567">
      <w:pPr>
        <w:spacing w:line="360" w:lineRule="auto"/>
        <w:ind w:firstLine="709"/>
        <w:jc w:val="both"/>
        <w:rPr>
          <w:rFonts w:ascii="Times New Roman" w:hAnsi="Times New Roman" w:cs="Times New Roman"/>
          <w:sz w:val="24"/>
          <w:szCs w:val="24"/>
        </w:rPr>
      </w:pPr>
      <w:r w:rsidRPr="002A134C">
        <w:rPr>
          <w:rFonts w:ascii="Times New Roman" w:hAnsi="Times New Roman" w:cs="Times New Roman"/>
          <w:sz w:val="24"/>
          <w:szCs w:val="24"/>
        </w:rPr>
        <w:t xml:space="preserve">Для политических лидеров это только предположения о тех успехах или опасностях, которые </w:t>
      </w:r>
      <w:r>
        <w:rPr>
          <w:rFonts w:ascii="Times New Roman" w:hAnsi="Times New Roman" w:cs="Times New Roman"/>
          <w:sz w:val="24"/>
          <w:szCs w:val="24"/>
        </w:rPr>
        <w:t>станут следствием</w:t>
      </w:r>
      <w:r w:rsidRPr="002A134C">
        <w:rPr>
          <w:rFonts w:ascii="Times New Roman" w:hAnsi="Times New Roman" w:cs="Times New Roman"/>
          <w:sz w:val="24"/>
          <w:szCs w:val="24"/>
        </w:rPr>
        <w:t xml:space="preserve"> принимаемы</w:t>
      </w:r>
      <w:r>
        <w:rPr>
          <w:rFonts w:ascii="Times New Roman" w:hAnsi="Times New Roman" w:cs="Times New Roman"/>
          <w:sz w:val="24"/>
          <w:szCs w:val="24"/>
        </w:rPr>
        <w:t>х</w:t>
      </w:r>
      <w:r w:rsidRPr="002A134C">
        <w:rPr>
          <w:rFonts w:ascii="Times New Roman" w:hAnsi="Times New Roman" w:cs="Times New Roman"/>
          <w:sz w:val="24"/>
          <w:szCs w:val="24"/>
        </w:rPr>
        <w:t xml:space="preserve"> ими решени</w:t>
      </w:r>
      <w:r>
        <w:rPr>
          <w:rFonts w:ascii="Times New Roman" w:hAnsi="Times New Roman" w:cs="Times New Roman"/>
          <w:sz w:val="24"/>
          <w:szCs w:val="24"/>
        </w:rPr>
        <w:t>й</w:t>
      </w:r>
      <w:r w:rsidRPr="002A134C">
        <w:rPr>
          <w:rFonts w:ascii="Times New Roman" w:hAnsi="Times New Roman" w:cs="Times New Roman"/>
          <w:sz w:val="24"/>
          <w:szCs w:val="24"/>
        </w:rPr>
        <w:t xml:space="preserve">. Наше предпочтение варианту постепенного развития основано на том, что он с </w:t>
      </w:r>
      <w:proofErr w:type="spellStart"/>
      <w:r w:rsidRPr="002A134C">
        <w:rPr>
          <w:rFonts w:ascii="Times New Roman" w:hAnsi="Times New Roman" w:cs="Times New Roman"/>
          <w:sz w:val="24"/>
          <w:szCs w:val="24"/>
        </w:rPr>
        <w:t>бóльшей</w:t>
      </w:r>
      <w:proofErr w:type="spellEnd"/>
      <w:r w:rsidRPr="002A134C">
        <w:rPr>
          <w:rFonts w:ascii="Times New Roman" w:hAnsi="Times New Roman" w:cs="Times New Roman"/>
          <w:sz w:val="24"/>
          <w:szCs w:val="24"/>
        </w:rPr>
        <w:t xml:space="preserve"> вероятностью предполагает в конце концов (сравнительно) успешный исход. Это предположение опирается в итоге анализа на вывод, что для российского общества и любого возглавляющего его руководства лучшие результаты обещает развитие рыночной экономики и поддерживающ</w:t>
      </w:r>
      <w:r>
        <w:rPr>
          <w:rFonts w:ascii="Times New Roman" w:hAnsi="Times New Roman" w:cs="Times New Roman"/>
          <w:sz w:val="24"/>
          <w:szCs w:val="24"/>
        </w:rPr>
        <w:t>е</w:t>
      </w:r>
      <w:r w:rsidRPr="002A134C">
        <w:rPr>
          <w:rFonts w:ascii="Times New Roman" w:hAnsi="Times New Roman" w:cs="Times New Roman"/>
          <w:sz w:val="24"/>
          <w:szCs w:val="24"/>
        </w:rPr>
        <w:t xml:space="preserve">е его введение и закрепление верховенства права. </w:t>
      </w:r>
      <w:r>
        <w:rPr>
          <w:rFonts w:ascii="Times New Roman" w:hAnsi="Times New Roman" w:cs="Times New Roman"/>
          <w:sz w:val="24"/>
          <w:szCs w:val="24"/>
        </w:rPr>
        <w:t>При</w:t>
      </w:r>
      <w:r w:rsidRPr="002A134C">
        <w:rPr>
          <w:rFonts w:ascii="Times New Roman" w:hAnsi="Times New Roman" w:cs="Times New Roman"/>
          <w:sz w:val="24"/>
          <w:szCs w:val="24"/>
        </w:rPr>
        <w:t xml:space="preserve"> этом экономическая конкуренция обеспечивает рыночное равновесие, а политическая конкуренция создает равновесие между институциональными нормами и ценностями, исключающее чрезмерные рентные доходы для одних и тех же социально-экономических групп (слоев) в течение длительных периодов.</w:t>
      </w:r>
    </w:p>
    <w:p w14:paraId="7354D42D" w14:textId="77777777" w:rsidR="002754C6" w:rsidRPr="00291563" w:rsidRDefault="002754C6" w:rsidP="00186567">
      <w:pPr>
        <w:spacing w:line="360" w:lineRule="auto"/>
        <w:ind w:firstLine="709"/>
        <w:jc w:val="both"/>
        <w:rPr>
          <w:rFonts w:ascii="Times New Roman" w:hAnsi="Times New Roman" w:cs="Times New Roman"/>
          <w:sz w:val="24"/>
          <w:szCs w:val="24"/>
        </w:rPr>
      </w:pPr>
      <w:r w:rsidRPr="002A134C">
        <w:rPr>
          <w:rFonts w:ascii="Times New Roman" w:hAnsi="Times New Roman" w:cs="Times New Roman"/>
          <w:sz w:val="24"/>
          <w:szCs w:val="24"/>
        </w:rPr>
        <w:t>Это</w:t>
      </w:r>
      <w:r>
        <w:rPr>
          <w:rFonts w:ascii="Times New Roman" w:hAnsi="Times New Roman" w:cs="Times New Roman"/>
          <w:sz w:val="24"/>
          <w:szCs w:val="24"/>
        </w:rPr>
        <w:t>,</w:t>
      </w:r>
      <w:r w:rsidRPr="002A134C">
        <w:rPr>
          <w:rFonts w:ascii="Times New Roman" w:hAnsi="Times New Roman" w:cs="Times New Roman"/>
          <w:sz w:val="24"/>
          <w:szCs w:val="24"/>
        </w:rPr>
        <w:t xml:space="preserve"> во-первых. А во-вторых, мы должны признать что хотим, чтобы именно этот или близкий к нему сценарий был реализован. Склонность к постепенности на данном этапе объясняется опасениями, что новые попытки радикальных и чрезмерно масштабных преобразований будут вызывать также радикальные меры противодействия.</w:t>
      </w:r>
    </w:p>
    <w:p w14:paraId="7DF9E5B4" w14:textId="77777777" w:rsidR="00944D57" w:rsidRDefault="00944D57" w:rsidP="00EB079A">
      <w:pPr>
        <w:spacing w:line="360" w:lineRule="auto"/>
        <w:ind w:left="-567" w:firstLine="283"/>
        <w:jc w:val="both"/>
        <w:rPr>
          <w:rFonts w:ascii="Times New Roman" w:hAnsi="Times New Roman" w:cs="Times New Roman"/>
          <w:sz w:val="24"/>
          <w:szCs w:val="24"/>
        </w:rPr>
      </w:pPr>
    </w:p>
    <w:p w14:paraId="49A55C9B" w14:textId="77777777" w:rsidR="00973826" w:rsidRDefault="00973826">
      <w:pPr>
        <w:rPr>
          <w:rFonts w:ascii="Times New Roman" w:hAnsi="Times New Roman" w:cs="Times New Roman"/>
          <w:b/>
          <w:sz w:val="24"/>
          <w:szCs w:val="24"/>
        </w:rPr>
      </w:pPr>
      <w:r>
        <w:rPr>
          <w:rFonts w:ascii="Times New Roman" w:hAnsi="Times New Roman" w:cs="Times New Roman"/>
          <w:b/>
          <w:sz w:val="24"/>
          <w:szCs w:val="24"/>
        </w:rPr>
        <w:br w:type="page"/>
      </w:r>
    </w:p>
    <w:p w14:paraId="76EE1D7A" w14:textId="59EF3A88" w:rsidR="00944D57" w:rsidRDefault="00944D57" w:rsidP="00944D57">
      <w:pPr>
        <w:rPr>
          <w:rFonts w:ascii="Times New Roman" w:hAnsi="Times New Roman" w:cs="Times New Roman"/>
          <w:b/>
          <w:sz w:val="24"/>
          <w:szCs w:val="24"/>
        </w:rPr>
      </w:pPr>
      <w:r>
        <w:rPr>
          <w:rFonts w:ascii="Times New Roman" w:hAnsi="Times New Roman" w:cs="Times New Roman"/>
          <w:b/>
          <w:sz w:val="24"/>
          <w:szCs w:val="24"/>
        </w:rPr>
        <w:lastRenderedPageBreak/>
        <w:t>Литература</w:t>
      </w:r>
    </w:p>
    <w:p w14:paraId="27EDD186" w14:textId="77777777" w:rsidR="00944D57" w:rsidRDefault="00944D57" w:rsidP="00944D57">
      <w:pPr>
        <w:rPr>
          <w:rFonts w:ascii="Times New Roman" w:hAnsi="Times New Roman" w:cs="Times New Roman"/>
          <w:b/>
          <w:sz w:val="24"/>
          <w:szCs w:val="24"/>
        </w:rPr>
      </w:pPr>
    </w:p>
    <w:p w14:paraId="69D45026" w14:textId="77777777" w:rsidR="00973826" w:rsidRPr="0074175D" w:rsidRDefault="00973826" w:rsidP="00973826">
      <w:pPr>
        <w:pStyle w:val="af0"/>
        <w:numPr>
          <w:ilvl w:val="0"/>
          <w:numId w:val="9"/>
        </w:numPr>
        <w:rPr>
          <w:rFonts w:ascii="Times New Roman" w:hAnsi="Times New Roman" w:cs="Times New Roman"/>
          <w:sz w:val="24"/>
          <w:szCs w:val="24"/>
          <w:lang w:val="en-US"/>
        </w:rPr>
      </w:pPr>
      <w:r w:rsidRPr="0074175D">
        <w:rPr>
          <w:rFonts w:ascii="Times New Roman" w:hAnsi="Times New Roman" w:cs="Times New Roman"/>
          <w:sz w:val="24"/>
          <w:szCs w:val="24"/>
          <w:lang w:val="en-US"/>
        </w:rPr>
        <w:t xml:space="preserve">Kowalski, P, M </w:t>
      </w:r>
      <w:proofErr w:type="spellStart"/>
      <w:r w:rsidRPr="0074175D">
        <w:rPr>
          <w:rFonts w:ascii="Times New Roman" w:hAnsi="Times New Roman" w:cs="Times New Roman"/>
          <w:sz w:val="24"/>
          <w:szCs w:val="24"/>
          <w:lang w:val="en-US"/>
        </w:rPr>
        <w:t>Büge</w:t>
      </w:r>
      <w:proofErr w:type="spellEnd"/>
      <w:r w:rsidRPr="0074175D">
        <w:rPr>
          <w:rFonts w:ascii="Times New Roman" w:hAnsi="Times New Roman" w:cs="Times New Roman"/>
          <w:sz w:val="24"/>
          <w:szCs w:val="24"/>
          <w:lang w:val="en-US"/>
        </w:rPr>
        <w:t xml:space="preserve">, M </w:t>
      </w:r>
      <w:proofErr w:type="spellStart"/>
      <w:r w:rsidRPr="0074175D">
        <w:rPr>
          <w:rFonts w:ascii="Times New Roman" w:hAnsi="Times New Roman" w:cs="Times New Roman"/>
          <w:sz w:val="24"/>
          <w:szCs w:val="24"/>
          <w:lang w:val="en-US"/>
        </w:rPr>
        <w:t>Sztajerowska</w:t>
      </w:r>
      <w:proofErr w:type="spellEnd"/>
      <w:r w:rsidRPr="0074175D">
        <w:rPr>
          <w:rFonts w:ascii="Times New Roman" w:hAnsi="Times New Roman" w:cs="Times New Roman"/>
          <w:sz w:val="24"/>
          <w:szCs w:val="24"/>
          <w:lang w:val="en-US"/>
        </w:rPr>
        <w:t xml:space="preserve"> and M </w:t>
      </w:r>
      <w:proofErr w:type="spellStart"/>
      <w:r w:rsidRPr="0074175D">
        <w:rPr>
          <w:rFonts w:ascii="Times New Roman" w:hAnsi="Times New Roman" w:cs="Times New Roman"/>
          <w:sz w:val="24"/>
          <w:szCs w:val="24"/>
          <w:lang w:val="en-US"/>
        </w:rPr>
        <w:t>Egeland</w:t>
      </w:r>
      <w:proofErr w:type="spellEnd"/>
      <w:r w:rsidRPr="0074175D">
        <w:rPr>
          <w:rFonts w:ascii="Times New Roman" w:hAnsi="Times New Roman" w:cs="Times New Roman"/>
          <w:sz w:val="24"/>
          <w:szCs w:val="24"/>
          <w:lang w:val="en-US"/>
        </w:rPr>
        <w:t xml:space="preserve"> (2013), “State-Owned Enterprises: Trade Effects and Policy Implications”, OECD Trade Policy Paper, No. 147, OECD Publishing</w:t>
      </w:r>
    </w:p>
    <w:p w14:paraId="1113A311" w14:textId="77777777" w:rsidR="00973826" w:rsidRPr="0074175D" w:rsidRDefault="00973826" w:rsidP="00973826">
      <w:pPr>
        <w:pStyle w:val="af0"/>
        <w:numPr>
          <w:ilvl w:val="0"/>
          <w:numId w:val="9"/>
        </w:numPr>
        <w:rPr>
          <w:rFonts w:ascii="Times New Roman" w:hAnsi="Times New Roman" w:cs="Times New Roman"/>
          <w:sz w:val="24"/>
          <w:szCs w:val="24"/>
          <w:lang w:val="en-US"/>
        </w:rPr>
      </w:pPr>
      <w:r w:rsidRPr="00DF69FB">
        <w:rPr>
          <w:rFonts w:ascii="Times New Roman" w:hAnsi="Times New Roman" w:cs="Times New Roman"/>
          <w:sz w:val="24"/>
          <w:szCs w:val="24"/>
          <w:lang w:val="en-US"/>
        </w:rPr>
        <w:t xml:space="preserve">Schneider, F., A. </w:t>
      </w:r>
      <w:proofErr w:type="spellStart"/>
      <w:r w:rsidRPr="00DF69FB">
        <w:rPr>
          <w:rFonts w:ascii="Times New Roman" w:hAnsi="Times New Roman" w:cs="Times New Roman"/>
          <w:sz w:val="24"/>
          <w:szCs w:val="24"/>
          <w:lang w:val="en-US"/>
        </w:rPr>
        <w:t>Buehn</w:t>
      </w:r>
      <w:proofErr w:type="spellEnd"/>
      <w:r w:rsidRPr="00DF69FB">
        <w:rPr>
          <w:rFonts w:ascii="Times New Roman" w:hAnsi="Times New Roman" w:cs="Times New Roman"/>
          <w:sz w:val="24"/>
          <w:szCs w:val="24"/>
          <w:lang w:val="en-US"/>
        </w:rPr>
        <w:t>, C.E. Montenegro (2010), New Estimates for the Shadow Economies all over the World, International Economic Journal 24/4, pp. 443-461</w:t>
      </w:r>
    </w:p>
    <w:p w14:paraId="67DE810B" w14:textId="128C739C" w:rsidR="00973826" w:rsidRPr="009310E6" w:rsidRDefault="00973826" w:rsidP="00973826">
      <w:pPr>
        <w:pStyle w:val="af0"/>
        <w:numPr>
          <w:ilvl w:val="0"/>
          <w:numId w:val="9"/>
        </w:numPr>
        <w:rPr>
          <w:rFonts w:ascii="Times New Roman" w:hAnsi="Times New Roman" w:cs="Times New Roman"/>
          <w:sz w:val="24"/>
          <w:szCs w:val="24"/>
        </w:rPr>
      </w:pPr>
      <w:r w:rsidRPr="00973826">
        <w:rPr>
          <w:rFonts w:ascii="Times New Roman" w:hAnsi="Times New Roman" w:cs="Times New Roman"/>
          <w:sz w:val="24"/>
          <w:szCs w:val="24"/>
          <w:lang w:val="en-US"/>
        </w:rPr>
        <w:t>U.S. Energy Information Administration (EIA)</w:t>
      </w:r>
      <w:r w:rsidRPr="009310E6">
        <w:rPr>
          <w:rFonts w:ascii="Times New Roman" w:hAnsi="Times New Roman" w:cs="Times New Roman"/>
          <w:sz w:val="24"/>
          <w:szCs w:val="24"/>
          <w:lang w:val="en-US"/>
        </w:rPr>
        <w:t>. Short-term energy and summer fuels outlook. Release Date: April 12, 2016</w:t>
      </w:r>
    </w:p>
    <w:p w14:paraId="698BD36D" w14:textId="77777777" w:rsidR="00944D57" w:rsidRDefault="00944D57" w:rsidP="00944D57">
      <w:pPr>
        <w:pStyle w:val="af0"/>
        <w:numPr>
          <w:ilvl w:val="0"/>
          <w:numId w:val="9"/>
        </w:numPr>
        <w:rPr>
          <w:rFonts w:ascii="Times New Roman" w:hAnsi="Times New Roman" w:cs="Times New Roman"/>
          <w:sz w:val="24"/>
          <w:szCs w:val="24"/>
        </w:rPr>
      </w:pPr>
      <w:r w:rsidRPr="00D860B4">
        <w:rPr>
          <w:rFonts w:ascii="Times New Roman" w:hAnsi="Times New Roman" w:cs="Times New Roman"/>
          <w:sz w:val="24"/>
          <w:szCs w:val="24"/>
        </w:rPr>
        <w:t xml:space="preserve">Акиндинова Н. В., Ясин Е. Г. Новый этап развития экономики в постсоветской России [Текст] : </w:t>
      </w:r>
      <w:proofErr w:type="spellStart"/>
      <w:r w:rsidRPr="00D860B4">
        <w:rPr>
          <w:rFonts w:ascii="Times New Roman" w:hAnsi="Times New Roman" w:cs="Times New Roman"/>
          <w:sz w:val="24"/>
          <w:szCs w:val="24"/>
        </w:rPr>
        <w:t>докл</w:t>
      </w:r>
      <w:proofErr w:type="spellEnd"/>
      <w:r w:rsidRPr="00D860B4">
        <w:rPr>
          <w:rFonts w:ascii="Times New Roman" w:hAnsi="Times New Roman" w:cs="Times New Roman"/>
          <w:sz w:val="24"/>
          <w:szCs w:val="24"/>
        </w:rPr>
        <w:t xml:space="preserve">. к XVI Апр. </w:t>
      </w:r>
      <w:proofErr w:type="spellStart"/>
      <w:r w:rsidRPr="00D860B4">
        <w:rPr>
          <w:rFonts w:ascii="Times New Roman" w:hAnsi="Times New Roman" w:cs="Times New Roman"/>
          <w:sz w:val="24"/>
          <w:szCs w:val="24"/>
        </w:rPr>
        <w:t>междунар</w:t>
      </w:r>
      <w:proofErr w:type="spellEnd"/>
      <w:r w:rsidRPr="00D860B4">
        <w:rPr>
          <w:rFonts w:ascii="Times New Roman" w:hAnsi="Times New Roman" w:cs="Times New Roman"/>
          <w:sz w:val="24"/>
          <w:szCs w:val="24"/>
        </w:rPr>
        <w:t xml:space="preserve">. науч. </w:t>
      </w:r>
      <w:proofErr w:type="spellStart"/>
      <w:r w:rsidRPr="00D860B4">
        <w:rPr>
          <w:rFonts w:ascii="Times New Roman" w:hAnsi="Times New Roman" w:cs="Times New Roman"/>
          <w:sz w:val="24"/>
          <w:szCs w:val="24"/>
        </w:rPr>
        <w:t>конф</w:t>
      </w:r>
      <w:proofErr w:type="spellEnd"/>
      <w:r w:rsidRPr="00D860B4">
        <w:rPr>
          <w:rFonts w:ascii="Times New Roman" w:hAnsi="Times New Roman" w:cs="Times New Roman"/>
          <w:sz w:val="24"/>
          <w:szCs w:val="24"/>
        </w:rPr>
        <w:t>. по проблемам развития экономики и общества, Москва, 7–10 апр. 2015 г. — М. : Изд. до</w:t>
      </w:r>
      <w:r>
        <w:rPr>
          <w:rFonts w:ascii="Times New Roman" w:hAnsi="Times New Roman" w:cs="Times New Roman"/>
          <w:sz w:val="24"/>
          <w:szCs w:val="24"/>
        </w:rPr>
        <w:t>м Высшей школы экономики, 2015.</w:t>
      </w:r>
    </w:p>
    <w:p w14:paraId="343ADCF5" w14:textId="77777777" w:rsidR="00944D57" w:rsidRDefault="00944D57" w:rsidP="00944D57">
      <w:pPr>
        <w:pStyle w:val="af0"/>
        <w:numPr>
          <w:ilvl w:val="0"/>
          <w:numId w:val="9"/>
        </w:numPr>
        <w:rPr>
          <w:rFonts w:ascii="Times New Roman" w:hAnsi="Times New Roman" w:cs="Times New Roman"/>
          <w:sz w:val="24"/>
          <w:szCs w:val="24"/>
        </w:rPr>
      </w:pPr>
      <w:r>
        <w:rPr>
          <w:rFonts w:ascii="Times New Roman" w:hAnsi="Times New Roman" w:cs="Times New Roman"/>
          <w:sz w:val="24"/>
          <w:szCs w:val="24"/>
        </w:rPr>
        <w:t xml:space="preserve">Акиндинова Н.В. </w:t>
      </w:r>
      <w:r w:rsidRPr="00D860B4">
        <w:rPr>
          <w:rFonts w:ascii="Times New Roman" w:hAnsi="Times New Roman" w:cs="Times New Roman"/>
          <w:sz w:val="24"/>
          <w:szCs w:val="24"/>
        </w:rPr>
        <w:t>Бюджетный переворот: как падение доходов заставит власть делать выбор</w:t>
      </w:r>
      <w:r>
        <w:rPr>
          <w:rFonts w:ascii="Times New Roman" w:hAnsi="Times New Roman" w:cs="Times New Roman"/>
          <w:sz w:val="24"/>
          <w:szCs w:val="24"/>
        </w:rPr>
        <w:t xml:space="preserve">, </w:t>
      </w:r>
      <w:hyperlink r:id="rId24" w:history="1">
        <w:r w:rsidRPr="00E629A1">
          <w:rPr>
            <w:rStyle w:val="af6"/>
            <w:rFonts w:ascii="Times New Roman" w:hAnsi="Times New Roman" w:cs="Times New Roman"/>
            <w:sz w:val="24"/>
            <w:szCs w:val="24"/>
          </w:rPr>
          <w:t>http://www.forbes.ru/</w:t>
        </w:r>
      </w:hyperlink>
      <w:r>
        <w:rPr>
          <w:rFonts w:ascii="Times New Roman" w:hAnsi="Times New Roman" w:cs="Times New Roman"/>
          <w:sz w:val="24"/>
          <w:szCs w:val="24"/>
        </w:rPr>
        <w:t>, 20.02.2016.</w:t>
      </w:r>
    </w:p>
    <w:p w14:paraId="513B6D1B" w14:textId="77777777" w:rsidR="00944D57" w:rsidRDefault="00944D57" w:rsidP="00944D57">
      <w:pPr>
        <w:pStyle w:val="af0"/>
        <w:numPr>
          <w:ilvl w:val="0"/>
          <w:numId w:val="9"/>
        </w:numPr>
        <w:rPr>
          <w:rFonts w:ascii="Times New Roman" w:hAnsi="Times New Roman" w:cs="Times New Roman"/>
          <w:sz w:val="24"/>
          <w:szCs w:val="24"/>
        </w:rPr>
      </w:pPr>
      <w:r>
        <w:rPr>
          <w:rFonts w:ascii="Times New Roman" w:hAnsi="Times New Roman" w:cs="Times New Roman"/>
          <w:sz w:val="24"/>
          <w:szCs w:val="24"/>
        </w:rPr>
        <w:t xml:space="preserve">Миркин Я.М. </w:t>
      </w:r>
      <w:r w:rsidRPr="007A02EB">
        <w:rPr>
          <w:rFonts w:ascii="Times New Roman" w:hAnsi="Times New Roman" w:cs="Times New Roman"/>
          <w:sz w:val="24"/>
          <w:szCs w:val="24"/>
        </w:rPr>
        <w:t>Внешняя политика в футляре экономики</w:t>
      </w:r>
      <w:r>
        <w:rPr>
          <w:rFonts w:ascii="Times New Roman" w:hAnsi="Times New Roman" w:cs="Times New Roman"/>
          <w:sz w:val="24"/>
          <w:szCs w:val="24"/>
        </w:rPr>
        <w:t>,</w:t>
      </w:r>
      <w:r w:rsidRPr="007A02EB">
        <w:rPr>
          <w:rFonts w:ascii="Times New Roman" w:hAnsi="Times New Roman" w:cs="Times New Roman"/>
          <w:sz w:val="24"/>
          <w:szCs w:val="24"/>
        </w:rPr>
        <w:t xml:space="preserve"> «Россия в глобальной политике», №1,2016,сс.14-18</w:t>
      </w:r>
    </w:p>
    <w:p w14:paraId="6FD5974C" w14:textId="77777777" w:rsidR="00944D57" w:rsidRDefault="00944D57" w:rsidP="00944D57">
      <w:pPr>
        <w:pStyle w:val="af0"/>
        <w:numPr>
          <w:ilvl w:val="0"/>
          <w:numId w:val="9"/>
        </w:numPr>
        <w:rPr>
          <w:rFonts w:ascii="Times New Roman" w:hAnsi="Times New Roman" w:cs="Times New Roman"/>
          <w:sz w:val="24"/>
          <w:szCs w:val="24"/>
        </w:rPr>
      </w:pPr>
      <w:r>
        <w:rPr>
          <w:rFonts w:ascii="Times New Roman" w:hAnsi="Times New Roman" w:cs="Times New Roman"/>
          <w:sz w:val="24"/>
          <w:szCs w:val="24"/>
        </w:rPr>
        <w:t>Путин В.В.</w:t>
      </w:r>
      <w:r w:rsidRPr="00D860B4">
        <w:rPr>
          <w:rFonts w:ascii="Times New Roman" w:hAnsi="Times New Roman" w:cs="Times New Roman"/>
          <w:sz w:val="24"/>
          <w:szCs w:val="24"/>
        </w:rPr>
        <w:t xml:space="preserve"> О наших экономических задачах</w:t>
      </w:r>
      <w:r>
        <w:rPr>
          <w:rFonts w:ascii="Times New Roman" w:hAnsi="Times New Roman" w:cs="Times New Roman"/>
          <w:sz w:val="24"/>
          <w:szCs w:val="24"/>
        </w:rPr>
        <w:t xml:space="preserve">, </w:t>
      </w:r>
      <w:r w:rsidRPr="00E21057">
        <w:rPr>
          <w:rFonts w:ascii="Times New Roman" w:hAnsi="Times New Roman" w:cs="Times New Roman"/>
          <w:sz w:val="24"/>
          <w:szCs w:val="24"/>
        </w:rPr>
        <w:t>Ведомости 30.01.2012</w:t>
      </w:r>
    </w:p>
    <w:p w14:paraId="701A2D6D" w14:textId="77777777" w:rsidR="00944D57" w:rsidRPr="007A02EB" w:rsidRDefault="00944D57" w:rsidP="00944D57">
      <w:pPr>
        <w:pStyle w:val="af0"/>
        <w:numPr>
          <w:ilvl w:val="0"/>
          <w:numId w:val="9"/>
        </w:numPr>
        <w:rPr>
          <w:rFonts w:ascii="Times New Roman" w:hAnsi="Times New Roman" w:cs="Times New Roman"/>
          <w:sz w:val="24"/>
          <w:szCs w:val="24"/>
        </w:rPr>
      </w:pPr>
      <w:r w:rsidRPr="007A02EB">
        <w:rPr>
          <w:rFonts w:ascii="Times New Roman" w:hAnsi="Times New Roman" w:cs="Times New Roman"/>
          <w:sz w:val="24"/>
          <w:szCs w:val="24"/>
        </w:rPr>
        <w:t xml:space="preserve">Ясин Е. Г. Сценарии для России на долгосрочную перспективу. Новый импульс через два десятилетия [Текст] : </w:t>
      </w:r>
      <w:proofErr w:type="spellStart"/>
      <w:r w:rsidRPr="007A02EB">
        <w:rPr>
          <w:rFonts w:ascii="Times New Roman" w:hAnsi="Times New Roman" w:cs="Times New Roman"/>
          <w:sz w:val="24"/>
          <w:szCs w:val="24"/>
        </w:rPr>
        <w:t>докл</w:t>
      </w:r>
      <w:proofErr w:type="spellEnd"/>
      <w:r w:rsidRPr="007A02EB">
        <w:rPr>
          <w:rFonts w:ascii="Times New Roman" w:hAnsi="Times New Roman" w:cs="Times New Roman"/>
          <w:sz w:val="24"/>
          <w:szCs w:val="24"/>
        </w:rPr>
        <w:t xml:space="preserve">. к XIII Апр. </w:t>
      </w:r>
      <w:proofErr w:type="spellStart"/>
      <w:r w:rsidRPr="007A02EB">
        <w:rPr>
          <w:rFonts w:ascii="Times New Roman" w:hAnsi="Times New Roman" w:cs="Times New Roman"/>
          <w:sz w:val="24"/>
          <w:szCs w:val="24"/>
        </w:rPr>
        <w:t>междунар</w:t>
      </w:r>
      <w:proofErr w:type="spellEnd"/>
      <w:r w:rsidRPr="007A02EB">
        <w:rPr>
          <w:rFonts w:ascii="Times New Roman" w:hAnsi="Times New Roman" w:cs="Times New Roman"/>
          <w:sz w:val="24"/>
          <w:szCs w:val="24"/>
        </w:rPr>
        <w:t xml:space="preserve">. науч. </w:t>
      </w:r>
      <w:proofErr w:type="spellStart"/>
      <w:r w:rsidRPr="007A02EB">
        <w:rPr>
          <w:rFonts w:ascii="Times New Roman" w:hAnsi="Times New Roman" w:cs="Times New Roman"/>
          <w:sz w:val="24"/>
          <w:szCs w:val="24"/>
        </w:rPr>
        <w:t>конф</w:t>
      </w:r>
      <w:proofErr w:type="spellEnd"/>
      <w:r w:rsidRPr="007A02EB">
        <w:rPr>
          <w:rFonts w:ascii="Times New Roman" w:hAnsi="Times New Roman" w:cs="Times New Roman"/>
          <w:sz w:val="24"/>
          <w:szCs w:val="24"/>
        </w:rPr>
        <w:t>. по проблемам развития экономики и общества, Москва, 3–5 апр. 2012 г. —М.: Изд. дом Высшей школы экономики, 2012.</w:t>
      </w:r>
    </w:p>
    <w:p w14:paraId="374DA150" w14:textId="77777777" w:rsidR="00944D57" w:rsidRPr="0068400D" w:rsidRDefault="00944D57" w:rsidP="00EB079A">
      <w:pPr>
        <w:spacing w:line="360" w:lineRule="auto"/>
        <w:ind w:left="-567" w:firstLine="283"/>
        <w:jc w:val="both"/>
        <w:rPr>
          <w:rFonts w:ascii="Times New Roman" w:hAnsi="Times New Roman" w:cs="Times New Roman"/>
          <w:sz w:val="24"/>
          <w:szCs w:val="24"/>
        </w:rPr>
      </w:pPr>
    </w:p>
    <w:p w14:paraId="38325780" w14:textId="77777777" w:rsidR="00D73F56" w:rsidRDefault="00D73F56">
      <w:pPr>
        <w:spacing w:line="360" w:lineRule="auto"/>
        <w:ind w:left="-567" w:firstLine="283"/>
        <w:jc w:val="both"/>
        <w:rPr>
          <w:rFonts w:ascii="Times New Roman" w:hAnsi="Times New Roman" w:cs="Times New Roman"/>
          <w:b/>
          <w:sz w:val="24"/>
          <w:szCs w:val="24"/>
        </w:rPr>
      </w:pPr>
    </w:p>
    <w:p w14:paraId="7E539061" w14:textId="77777777" w:rsidR="0096692C" w:rsidRPr="00D73F56" w:rsidRDefault="0096692C">
      <w:pPr>
        <w:spacing w:line="360" w:lineRule="auto"/>
        <w:ind w:left="-567" w:firstLine="283"/>
        <w:jc w:val="both"/>
        <w:rPr>
          <w:rFonts w:ascii="Times New Roman" w:hAnsi="Times New Roman" w:cs="Times New Roman"/>
          <w:b/>
          <w:sz w:val="24"/>
          <w:szCs w:val="24"/>
        </w:rPr>
      </w:pPr>
    </w:p>
    <w:sectPr w:rsidR="0096692C" w:rsidRPr="00D73F56" w:rsidSect="00B01B51">
      <w:footerReference w:type="default" r:id="rId25"/>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9EF31" w14:textId="77777777" w:rsidR="00EC0E2A" w:rsidRDefault="00EC0E2A" w:rsidP="00581B4B">
      <w:pPr>
        <w:spacing w:after="0" w:line="240" w:lineRule="auto"/>
      </w:pPr>
      <w:r>
        <w:separator/>
      </w:r>
    </w:p>
  </w:endnote>
  <w:endnote w:type="continuationSeparator" w:id="0">
    <w:p w14:paraId="624C43ED" w14:textId="77777777" w:rsidR="00EC0E2A" w:rsidRDefault="00EC0E2A" w:rsidP="0058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52476"/>
      <w:docPartObj>
        <w:docPartGallery w:val="Page Numbers (Bottom of Page)"/>
        <w:docPartUnique/>
      </w:docPartObj>
    </w:sdtPr>
    <w:sdtEndPr/>
    <w:sdtContent>
      <w:p w14:paraId="36E0E74B" w14:textId="77777777" w:rsidR="00EC0E2A" w:rsidRDefault="00EC0E2A">
        <w:pPr>
          <w:pStyle w:val="a8"/>
          <w:jc w:val="right"/>
        </w:pPr>
        <w:r>
          <w:fldChar w:fldCharType="begin"/>
        </w:r>
        <w:r>
          <w:instrText>PAGE   \* MERGEFORMAT</w:instrText>
        </w:r>
        <w:r>
          <w:fldChar w:fldCharType="separate"/>
        </w:r>
        <w:r w:rsidR="001D6F88">
          <w:rPr>
            <w:noProof/>
          </w:rPr>
          <w:t>38</w:t>
        </w:r>
        <w:r>
          <w:fldChar w:fldCharType="end"/>
        </w:r>
      </w:p>
    </w:sdtContent>
  </w:sdt>
  <w:p w14:paraId="6D15F92B" w14:textId="77777777" w:rsidR="00EC0E2A" w:rsidRDefault="00EC0E2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066379"/>
      <w:docPartObj>
        <w:docPartGallery w:val="Page Numbers (Bottom of Page)"/>
        <w:docPartUnique/>
      </w:docPartObj>
    </w:sdtPr>
    <w:sdtEndPr/>
    <w:sdtContent>
      <w:p w14:paraId="246C0FE4" w14:textId="77777777" w:rsidR="00EC0E2A" w:rsidRDefault="00EC0E2A">
        <w:pPr>
          <w:pStyle w:val="a8"/>
          <w:jc w:val="right"/>
        </w:pPr>
        <w:r>
          <w:fldChar w:fldCharType="begin"/>
        </w:r>
        <w:r>
          <w:instrText>PAGE   \* MERGEFORMAT</w:instrText>
        </w:r>
        <w:r>
          <w:fldChar w:fldCharType="separate"/>
        </w:r>
        <w:r w:rsidR="001D6F88">
          <w:rPr>
            <w:noProof/>
          </w:rPr>
          <w:t>43</w:t>
        </w:r>
        <w:r>
          <w:fldChar w:fldCharType="end"/>
        </w:r>
      </w:p>
    </w:sdtContent>
  </w:sdt>
  <w:p w14:paraId="60AA74D1" w14:textId="77777777" w:rsidR="00EC0E2A" w:rsidRDefault="00EC0E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C25A0" w14:textId="77777777" w:rsidR="00EC0E2A" w:rsidRDefault="00EC0E2A" w:rsidP="00581B4B">
      <w:pPr>
        <w:spacing w:after="0" w:line="240" w:lineRule="auto"/>
      </w:pPr>
      <w:r>
        <w:separator/>
      </w:r>
    </w:p>
  </w:footnote>
  <w:footnote w:type="continuationSeparator" w:id="0">
    <w:p w14:paraId="080A7076" w14:textId="77777777" w:rsidR="00EC0E2A" w:rsidRDefault="00EC0E2A" w:rsidP="00581B4B">
      <w:pPr>
        <w:spacing w:after="0" w:line="240" w:lineRule="auto"/>
      </w:pPr>
      <w:r>
        <w:continuationSeparator/>
      </w:r>
    </w:p>
  </w:footnote>
  <w:footnote w:id="1">
    <w:p w14:paraId="0F9C423D" w14:textId="123789DB" w:rsidR="00EC0E2A" w:rsidRDefault="00EC0E2A">
      <w:pPr>
        <w:pStyle w:val="ad"/>
      </w:pPr>
      <w:r>
        <w:rPr>
          <w:rStyle w:val="af"/>
        </w:rPr>
        <w:footnoteRef/>
      </w:r>
      <w:r>
        <w:t xml:space="preserve">  </w:t>
      </w:r>
      <w:r w:rsidRPr="0092612C">
        <w:t>https://www.eia.gov/forecasts/steo/pdf/steo_full.pdf</w:t>
      </w:r>
    </w:p>
  </w:footnote>
  <w:footnote w:id="2">
    <w:p w14:paraId="78A5D647" w14:textId="0AE24A3A" w:rsidR="00EC0E2A" w:rsidRPr="000C12AC" w:rsidRDefault="00EC0E2A">
      <w:pPr>
        <w:pStyle w:val="ad"/>
      </w:pPr>
      <w:r>
        <w:rPr>
          <w:rStyle w:val="af"/>
        </w:rPr>
        <w:footnoteRef/>
      </w:r>
      <w:r>
        <w:t xml:space="preserve"> Альтернативная модель де-факто существовала в 90-х годах, когда население было вынуждено брать на себя часть финансирования  образования и здравоохранения в «диких формах» коррупционных доплат за реальные услуги. Именно унизительная коррупционная форма этого финансирования заложила в основных социальных группах тягу к «правильному» - бесплатному получению социальных благ.</w:t>
      </w:r>
    </w:p>
  </w:footnote>
  <w:footnote w:id="3">
    <w:p w14:paraId="0D1A63DF" w14:textId="77777777" w:rsidR="00EC0E2A" w:rsidRPr="00452486" w:rsidRDefault="00EC0E2A">
      <w:pPr>
        <w:pStyle w:val="ad"/>
      </w:pPr>
      <w:r>
        <w:rPr>
          <w:rStyle w:val="af"/>
        </w:rPr>
        <w:footnoteRef/>
      </w:r>
      <w:r>
        <w:t xml:space="preserve"> В 2014-2015 гг. после принятие положения Жилищного кодекса, устанавливающего ответственность владельцев приватизированного жилья за капитальный ремонт, абсолютное большинство регионов приняли нормативы отчислений на капремонт, покрывающие только от 20% до 50% его минимальной расчетной стоимости.</w:t>
      </w:r>
    </w:p>
  </w:footnote>
  <w:footnote w:id="4">
    <w:p w14:paraId="48762213" w14:textId="552F276F" w:rsidR="00EC0E2A" w:rsidRPr="000C12AC" w:rsidRDefault="00EC0E2A">
      <w:pPr>
        <w:pStyle w:val="ad"/>
      </w:pPr>
      <w:r>
        <w:rPr>
          <w:rStyle w:val="af"/>
        </w:rPr>
        <w:footnoteRef/>
      </w:r>
      <w:r>
        <w:t xml:space="preserve"> Включает в том числе внебюджетные государственные фонды.</w:t>
      </w:r>
    </w:p>
  </w:footnote>
  <w:footnote w:id="5">
    <w:p w14:paraId="7706185A" w14:textId="44132053" w:rsidR="00EC0E2A" w:rsidRPr="003B71CE" w:rsidRDefault="00EC0E2A">
      <w:pPr>
        <w:pStyle w:val="ad"/>
      </w:pPr>
      <w:r>
        <w:rPr>
          <w:rStyle w:val="af"/>
        </w:rPr>
        <w:footnoteRef/>
      </w:r>
      <w:r>
        <w:t xml:space="preserve"> Условность такого наименования в том, что до трети доходов образования, здравоохранения, научного сектора и до половины доходов культуры сформированы на рыночной, а не на бюджетной основе. Тем не менее, именно бюджетный характер доходов определяет сам тип хозяйствования соответствующих учреждений; рыночные доходы являются некоей добавкой к бюджету, как «основному блюду».</w:t>
      </w:r>
    </w:p>
  </w:footnote>
  <w:footnote w:id="6">
    <w:p w14:paraId="34DA5672" w14:textId="68B59C38" w:rsidR="00EC0E2A" w:rsidRPr="008F4A40" w:rsidRDefault="00EC0E2A">
      <w:pPr>
        <w:pStyle w:val="ad"/>
      </w:pPr>
      <w:r>
        <w:rPr>
          <w:rStyle w:val="af"/>
        </w:rPr>
        <w:footnoteRef/>
      </w:r>
      <w:r>
        <w:t xml:space="preserve"> При этом лишь меньшая часть предприятий воспитывалась в условиях жесткой внутренней конкуренции и, соответственно, должна была «всерьез» снижать издержки. Производительность труда в российской экономике сохранила большое отставание от развитых рыночных стран.  </w:t>
      </w:r>
    </w:p>
  </w:footnote>
  <w:footnote w:id="7">
    <w:p w14:paraId="4682EDFA" w14:textId="5D37C789" w:rsidR="00EC0E2A" w:rsidRPr="000D2C01" w:rsidRDefault="00EC0E2A">
      <w:pPr>
        <w:pStyle w:val="ad"/>
      </w:pPr>
      <w:r>
        <w:rPr>
          <w:rStyle w:val="af"/>
        </w:rPr>
        <w:footnoteRef/>
      </w:r>
      <w:r>
        <w:t xml:space="preserve"> По оценке ВШЭ, в результате деятельности контрольно-надзорной системы в ее существующем виде потери бизнеса составляют около 2% ВВП в год.  По оценкам экспертов бизнес-объединений (ОПОРА России) такие потери существенно выше.</w:t>
      </w:r>
    </w:p>
  </w:footnote>
  <w:footnote w:id="8">
    <w:p w14:paraId="3082C779" w14:textId="49D21503" w:rsidR="00EC0E2A" w:rsidRPr="006D6D0C" w:rsidRDefault="00EC0E2A">
      <w:pPr>
        <w:pStyle w:val="ad"/>
      </w:pPr>
      <w:r>
        <w:rPr>
          <w:rStyle w:val="af"/>
        </w:rPr>
        <w:footnoteRef/>
      </w:r>
      <w:r>
        <w:t xml:space="preserve"> Как показывает, например, реализация майских указов Президента Путина 2012 года.</w:t>
      </w:r>
    </w:p>
  </w:footnote>
  <w:footnote w:id="9">
    <w:p w14:paraId="30A104ED" w14:textId="40214794" w:rsidR="00EC0E2A" w:rsidRPr="000B4E50" w:rsidRDefault="00EC0E2A">
      <w:pPr>
        <w:pStyle w:val="ad"/>
      </w:pPr>
      <w:r>
        <w:rPr>
          <w:rStyle w:val="af"/>
        </w:rPr>
        <w:footnoteRef/>
      </w:r>
      <w:r>
        <w:t xml:space="preserve"> Крайней формой адаптации «ничего не меняя» служит секвестр бюджета в 2015 и – с высокой вероятностью – в 2016 гг.</w:t>
      </w:r>
    </w:p>
  </w:footnote>
  <w:footnote w:id="10">
    <w:p w14:paraId="271B4B83" w14:textId="0C0E9A19" w:rsidR="00EC0E2A" w:rsidRPr="00585C5F" w:rsidRDefault="00EC0E2A">
      <w:pPr>
        <w:pStyle w:val="ad"/>
      </w:pPr>
      <w:r>
        <w:rPr>
          <w:rStyle w:val="af"/>
        </w:rPr>
        <w:footnoteRef/>
      </w:r>
      <w:r>
        <w:t xml:space="preserve"> В настоящее время финансирование высшего профессионального образования в России составляет 0,7% ВВП, в то время как в развитых странах – от 1 до 1,5% ВВП. В сфере фундаментальных исследований наше отставание приобрело угрожающий характер: российские ученые участвуют в разработке менее 5% от развивающихся в настоящее время в мире направлений перспективных исследований.   </w:t>
      </w:r>
    </w:p>
  </w:footnote>
  <w:footnote w:id="11">
    <w:p w14:paraId="5DBE7113" w14:textId="2F8E065E" w:rsidR="00EC0E2A" w:rsidRPr="0007143B" w:rsidRDefault="00EC0E2A">
      <w:pPr>
        <w:pStyle w:val="ad"/>
      </w:pPr>
      <w:r>
        <w:rPr>
          <w:rStyle w:val="af"/>
        </w:rPr>
        <w:footnoteRef/>
      </w:r>
      <w:r>
        <w:t xml:space="preserve"> Практически единственное исключение составляет туризм. Здесь можно говорить о реальном и сильном сжатии рынка по количеству потребителей. Но высвободившийся спрос перешел на сферу услуг в городах проживания. </w:t>
      </w:r>
    </w:p>
  </w:footnote>
  <w:footnote w:id="12">
    <w:p w14:paraId="185CAE19" w14:textId="186B9886" w:rsidR="00EC0E2A" w:rsidRDefault="00EC0E2A" w:rsidP="002754C6">
      <w:pPr>
        <w:pStyle w:val="ad"/>
      </w:pPr>
      <w:r>
        <w:rPr>
          <w:rStyle w:val="af"/>
        </w:rPr>
        <w:footnoteRef/>
      </w:r>
      <w:r>
        <w:t xml:space="preserve"> Ясин Е.Г. Сценарии для России на долгосрочную перспективу. Новый импульс через два десятилетия, 2012, сс.16-48.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7D59"/>
    <w:multiLevelType w:val="hybridMultilevel"/>
    <w:tmpl w:val="5D90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3078F7"/>
    <w:multiLevelType w:val="multilevel"/>
    <w:tmpl w:val="DD06D8D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6F44335"/>
    <w:multiLevelType w:val="multilevel"/>
    <w:tmpl w:val="35A20D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F26C0B"/>
    <w:multiLevelType w:val="multilevel"/>
    <w:tmpl w:val="6762B4CC"/>
    <w:lvl w:ilvl="0">
      <w:start w:val="1"/>
      <w:numFmt w:val="decimal"/>
      <w:lvlText w:val="%1"/>
      <w:lvlJc w:val="left"/>
      <w:pPr>
        <w:ind w:left="420" w:hanging="420"/>
      </w:pPr>
      <w:rPr>
        <w:rFonts w:hint="default"/>
      </w:rPr>
    </w:lvl>
    <w:lvl w:ilvl="1">
      <w:start w:val="1"/>
      <w:numFmt w:val="decimal"/>
      <w:lvlText w:val="%1.%2"/>
      <w:lvlJc w:val="left"/>
      <w:pPr>
        <w:ind w:left="136" w:hanging="4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15:restartNumberingAfterBreak="0">
    <w:nsid w:val="21492FA1"/>
    <w:multiLevelType w:val="hybridMultilevel"/>
    <w:tmpl w:val="AAE48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85768"/>
    <w:multiLevelType w:val="hybridMultilevel"/>
    <w:tmpl w:val="60A4F076"/>
    <w:lvl w:ilvl="0" w:tplc="F132A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E7750BF"/>
    <w:multiLevelType w:val="hybridMultilevel"/>
    <w:tmpl w:val="CF76621C"/>
    <w:lvl w:ilvl="0" w:tplc="C7F0C51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472100D4"/>
    <w:multiLevelType w:val="hybridMultilevel"/>
    <w:tmpl w:val="C59ED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A43B18"/>
    <w:multiLevelType w:val="hybridMultilevel"/>
    <w:tmpl w:val="E6A60CE0"/>
    <w:lvl w:ilvl="0" w:tplc="D9AADA6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0F05E35"/>
    <w:multiLevelType w:val="multilevel"/>
    <w:tmpl w:val="A5CC091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446587F"/>
    <w:multiLevelType w:val="hybridMultilevel"/>
    <w:tmpl w:val="053AD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A674C5"/>
    <w:multiLevelType w:val="multilevel"/>
    <w:tmpl w:val="E228A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3"/>
  </w:num>
  <w:num w:numId="4">
    <w:abstractNumId w:val="7"/>
  </w:num>
  <w:num w:numId="5">
    <w:abstractNumId w:val="5"/>
  </w:num>
  <w:num w:numId="6">
    <w:abstractNumId w:val="8"/>
  </w:num>
  <w:num w:numId="7">
    <w:abstractNumId w:val="10"/>
  </w:num>
  <w:num w:numId="8">
    <w:abstractNumId w:val="11"/>
  </w:num>
  <w:num w:numId="9">
    <w:abstractNumId w:val="4"/>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BE"/>
    <w:rsid w:val="0000321F"/>
    <w:rsid w:val="00006136"/>
    <w:rsid w:val="00013BC2"/>
    <w:rsid w:val="00014364"/>
    <w:rsid w:val="00021442"/>
    <w:rsid w:val="00022D63"/>
    <w:rsid w:val="00025A68"/>
    <w:rsid w:val="000332BD"/>
    <w:rsid w:val="00034A92"/>
    <w:rsid w:val="00035A46"/>
    <w:rsid w:val="0004330D"/>
    <w:rsid w:val="00044FC6"/>
    <w:rsid w:val="000475F7"/>
    <w:rsid w:val="0005072E"/>
    <w:rsid w:val="000535E1"/>
    <w:rsid w:val="00060854"/>
    <w:rsid w:val="0007143B"/>
    <w:rsid w:val="00074362"/>
    <w:rsid w:val="00081E40"/>
    <w:rsid w:val="00083BDD"/>
    <w:rsid w:val="00087EDE"/>
    <w:rsid w:val="000919B5"/>
    <w:rsid w:val="000965C4"/>
    <w:rsid w:val="000A3377"/>
    <w:rsid w:val="000A3517"/>
    <w:rsid w:val="000B0821"/>
    <w:rsid w:val="000B1CEC"/>
    <w:rsid w:val="000B4E50"/>
    <w:rsid w:val="000B7829"/>
    <w:rsid w:val="000C12AC"/>
    <w:rsid w:val="000C1E00"/>
    <w:rsid w:val="000D1BD3"/>
    <w:rsid w:val="000D2C01"/>
    <w:rsid w:val="000E706D"/>
    <w:rsid w:val="000F6FE4"/>
    <w:rsid w:val="00101AFA"/>
    <w:rsid w:val="00102A7F"/>
    <w:rsid w:val="0010430F"/>
    <w:rsid w:val="001049F3"/>
    <w:rsid w:val="00104CF3"/>
    <w:rsid w:val="001170EB"/>
    <w:rsid w:val="00117466"/>
    <w:rsid w:val="0012079A"/>
    <w:rsid w:val="001213B1"/>
    <w:rsid w:val="00123993"/>
    <w:rsid w:val="00127D9D"/>
    <w:rsid w:val="001301EB"/>
    <w:rsid w:val="0013082A"/>
    <w:rsid w:val="0013581A"/>
    <w:rsid w:val="00135B1B"/>
    <w:rsid w:val="00140178"/>
    <w:rsid w:val="00141E47"/>
    <w:rsid w:val="00147C28"/>
    <w:rsid w:val="0015069F"/>
    <w:rsid w:val="00151070"/>
    <w:rsid w:val="0015166C"/>
    <w:rsid w:val="00152CC5"/>
    <w:rsid w:val="001546A5"/>
    <w:rsid w:val="00154F24"/>
    <w:rsid w:val="00155164"/>
    <w:rsid w:val="0015603A"/>
    <w:rsid w:val="00161F95"/>
    <w:rsid w:val="00162C2E"/>
    <w:rsid w:val="001642EC"/>
    <w:rsid w:val="0016508D"/>
    <w:rsid w:val="00175B7D"/>
    <w:rsid w:val="0018094E"/>
    <w:rsid w:val="00183506"/>
    <w:rsid w:val="00184496"/>
    <w:rsid w:val="00186567"/>
    <w:rsid w:val="00187087"/>
    <w:rsid w:val="00190138"/>
    <w:rsid w:val="00191443"/>
    <w:rsid w:val="001B5AD4"/>
    <w:rsid w:val="001C3A39"/>
    <w:rsid w:val="001C3F67"/>
    <w:rsid w:val="001D2916"/>
    <w:rsid w:val="001D2D83"/>
    <w:rsid w:val="001D6F88"/>
    <w:rsid w:val="001D7349"/>
    <w:rsid w:val="001E15A6"/>
    <w:rsid w:val="001E3DE0"/>
    <w:rsid w:val="001E4EFF"/>
    <w:rsid w:val="001E6F94"/>
    <w:rsid w:val="001E79C5"/>
    <w:rsid w:val="001E7E95"/>
    <w:rsid w:val="001F20F4"/>
    <w:rsid w:val="001F4FE4"/>
    <w:rsid w:val="00205115"/>
    <w:rsid w:val="002065FC"/>
    <w:rsid w:val="00207096"/>
    <w:rsid w:val="0020799F"/>
    <w:rsid w:val="00210207"/>
    <w:rsid w:val="00211A5D"/>
    <w:rsid w:val="00222D2C"/>
    <w:rsid w:val="00222E31"/>
    <w:rsid w:val="0023383B"/>
    <w:rsid w:val="00234671"/>
    <w:rsid w:val="002437B0"/>
    <w:rsid w:val="00245521"/>
    <w:rsid w:val="00251020"/>
    <w:rsid w:val="00264B62"/>
    <w:rsid w:val="00272E5D"/>
    <w:rsid w:val="0027502A"/>
    <w:rsid w:val="002754C6"/>
    <w:rsid w:val="00280023"/>
    <w:rsid w:val="00280FAE"/>
    <w:rsid w:val="002820A2"/>
    <w:rsid w:val="0028309F"/>
    <w:rsid w:val="00286D51"/>
    <w:rsid w:val="002901A1"/>
    <w:rsid w:val="002905E2"/>
    <w:rsid w:val="00290B42"/>
    <w:rsid w:val="00291563"/>
    <w:rsid w:val="00291A58"/>
    <w:rsid w:val="0029486F"/>
    <w:rsid w:val="002A05FF"/>
    <w:rsid w:val="002A134C"/>
    <w:rsid w:val="002A1724"/>
    <w:rsid w:val="002A4365"/>
    <w:rsid w:val="002B195E"/>
    <w:rsid w:val="002B2715"/>
    <w:rsid w:val="002B4720"/>
    <w:rsid w:val="002B4BBF"/>
    <w:rsid w:val="002C351D"/>
    <w:rsid w:val="002C4D93"/>
    <w:rsid w:val="002D5FED"/>
    <w:rsid w:val="002E0595"/>
    <w:rsid w:val="002E2182"/>
    <w:rsid w:val="002E2216"/>
    <w:rsid w:val="002E294A"/>
    <w:rsid w:val="002E35A4"/>
    <w:rsid w:val="002E3EF2"/>
    <w:rsid w:val="002E52AF"/>
    <w:rsid w:val="002F09F7"/>
    <w:rsid w:val="002F6FFF"/>
    <w:rsid w:val="002F744B"/>
    <w:rsid w:val="002F7514"/>
    <w:rsid w:val="00300315"/>
    <w:rsid w:val="003056E0"/>
    <w:rsid w:val="003150D1"/>
    <w:rsid w:val="0031770C"/>
    <w:rsid w:val="00322126"/>
    <w:rsid w:val="00322F7D"/>
    <w:rsid w:val="003322EA"/>
    <w:rsid w:val="00336403"/>
    <w:rsid w:val="00336691"/>
    <w:rsid w:val="003424FB"/>
    <w:rsid w:val="003530DD"/>
    <w:rsid w:val="00357F71"/>
    <w:rsid w:val="00362E2E"/>
    <w:rsid w:val="00373F5D"/>
    <w:rsid w:val="00375CE2"/>
    <w:rsid w:val="00382842"/>
    <w:rsid w:val="00383316"/>
    <w:rsid w:val="003833D1"/>
    <w:rsid w:val="003870C3"/>
    <w:rsid w:val="00392F1B"/>
    <w:rsid w:val="003A1D69"/>
    <w:rsid w:val="003A298B"/>
    <w:rsid w:val="003B53C1"/>
    <w:rsid w:val="003B71CE"/>
    <w:rsid w:val="003C3BC4"/>
    <w:rsid w:val="003D2E0A"/>
    <w:rsid w:val="003D3EBC"/>
    <w:rsid w:val="003D486B"/>
    <w:rsid w:val="003D5435"/>
    <w:rsid w:val="003D5787"/>
    <w:rsid w:val="003E789E"/>
    <w:rsid w:val="003F5223"/>
    <w:rsid w:val="003F7041"/>
    <w:rsid w:val="00411054"/>
    <w:rsid w:val="00416E85"/>
    <w:rsid w:val="00417581"/>
    <w:rsid w:val="00417D93"/>
    <w:rsid w:val="00420395"/>
    <w:rsid w:val="00426CDF"/>
    <w:rsid w:val="00427ABC"/>
    <w:rsid w:val="00430924"/>
    <w:rsid w:val="004320C1"/>
    <w:rsid w:val="00432E7A"/>
    <w:rsid w:val="00433C7C"/>
    <w:rsid w:val="00444466"/>
    <w:rsid w:val="004471BF"/>
    <w:rsid w:val="004478D8"/>
    <w:rsid w:val="004516D8"/>
    <w:rsid w:val="00452486"/>
    <w:rsid w:val="00455CEA"/>
    <w:rsid w:val="00456570"/>
    <w:rsid w:val="004611D0"/>
    <w:rsid w:val="004636CD"/>
    <w:rsid w:val="00464D03"/>
    <w:rsid w:val="004713F2"/>
    <w:rsid w:val="00471FF2"/>
    <w:rsid w:val="004735ED"/>
    <w:rsid w:val="00473B59"/>
    <w:rsid w:val="00481A40"/>
    <w:rsid w:val="00483A4F"/>
    <w:rsid w:val="00483CD4"/>
    <w:rsid w:val="00486F5C"/>
    <w:rsid w:val="00487C4B"/>
    <w:rsid w:val="00497015"/>
    <w:rsid w:val="004A7320"/>
    <w:rsid w:val="004B21FA"/>
    <w:rsid w:val="004B70FE"/>
    <w:rsid w:val="004C154B"/>
    <w:rsid w:val="004C43EC"/>
    <w:rsid w:val="004C50E0"/>
    <w:rsid w:val="004C572C"/>
    <w:rsid w:val="004C7DBD"/>
    <w:rsid w:val="004D153C"/>
    <w:rsid w:val="004E4327"/>
    <w:rsid w:val="004E5149"/>
    <w:rsid w:val="004F16F6"/>
    <w:rsid w:val="004F2299"/>
    <w:rsid w:val="004F38F9"/>
    <w:rsid w:val="004F450A"/>
    <w:rsid w:val="004F6050"/>
    <w:rsid w:val="00500B62"/>
    <w:rsid w:val="00502798"/>
    <w:rsid w:val="00505C06"/>
    <w:rsid w:val="00507B49"/>
    <w:rsid w:val="0051326A"/>
    <w:rsid w:val="00517B3F"/>
    <w:rsid w:val="0052008D"/>
    <w:rsid w:val="005331A4"/>
    <w:rsid w:val="00535047"/>
    <w:rsid w:val="00540EB5"/>
    <w:rsid w:val="00542AD2"/>
    <w:rsid w:val="005454B4"/>
    <w:rsid w:val="00545534"/>
    <w:rsid w:val="00546E78"/>
    <w:rsid w:val="00553E19"/>
    <w:rsid w:val="00555D6A"/>
    <w:rsid w:val="005622B5"/>
    <w:rsid w:val="005649EE"/>
    <w:rsid w:val="0057558C"/>
    <w:rsid w:val="00575741"/>
    <w:rsid w:val="00577610"/>
    <w:rsid w:val="00580A07"/>
    <w:rsid w:val="00581B4B"/>
    <w:rsid w:val="00585C5F"/>
    <w:rsid w:val="005A061C"/>
    <w:rsid w:val="005A16E1"/>
    <w:rsid w:val="005A4A00"/>
    <w:rsid w:val="005A5D79"/>
    <w:rsid w:val="005B4A28"/>
    <w:rsid w:val="005C1B1F"/>
    <w:rsid w:val="005C3C4B"/>
    <w:rsid w:val="005C4CDA"/>
    <w:rsid w:val="005C6EBF"/>
    <w:rsid w:val="005D4DB8"/>
    <w:rsid w:val="005D7B4D"/>
    <w:rsid w:val="005E032A"/>
    <w:rsid w:val="005E7445"/>
    <w:rsid w:val="005E7B93"/>
    <w:rsid w:val="005F08B8"/>
    <w:rsid w:val="005F25CA"/>
    <w:rsid w:val="005F2DF6"/>
    <w:rsid w:val="005F3B50"/>
    <w:rsid w:val="005F5079"/>
    <w:rsid w:val="005F61BC"/>
    <w:rsid w:val="0060316C"/>
    <w:rsid w:val="006067F1"/>
    <w:rsid w:val="00610803"/>
    <w:rsid w:val="0061242C"/>
    <w:rsid w:val="00614B76"/>
    <w:rsid w:val="00614B7F"/>
    <w:rsid w:val="00620B71"/>
    <w:rsid w:val="006219AE"/>
    <w:rsid w:val="00621F8B"/>
    <w:rsid w:val="006239B7"/>
    <w:rsid w:val="006317C1"/>
    <w:rsid w:val="00636369"/>
    <w:rsid w:val="00640776"/>
    <w:rsid w:val="00641108"/>
    <w:rsid w:val="00644624"/>
    <w:rsid w:val="00645B49"/>
    <w:rsid w:val="00650520"/>
    <w:rsid w:val="00652459"/>
    <w:rsid w:val="0066079D"/>
    <w:rsid w:val="006641AA"/>
    <w:rsid w:val="00664C79"/>
    <w:rsid w:val="00671993"/>
    <w:rsid w:val="00676A53"/>
    <w:rsid w:val="00680D3F"/>
    <w:rsid w:val="0068400D"/>
    <w:rsid w:val="00686158"/>
    <w:rsid w:val="006865C9"/>
    <w:rsid w:val="00687955"/>
    <w:rsid w:val="00692D67"/>
    <w:rsid w:val="00694A46"/>
    <w:rsid w:val="00694E05"/>
    <w:rsid w:val="006A124D"/>
    <w:rsid w:val="006A1F20"/>
    <w:rsid w:val="006A558D"/>
    <w:rsid w:val="006A571A"/>
    <w:rsid w:val="006A7334"/>
    <w:rsid w:val="006A7D4F"/>
    <w:rsid w:val="006B3672"/>
    <w:rsid w:val="006B57B1"/>
    <w:rsid w:val="006C3480"/>
    <w:rsid w:val="006D0A48"/>
    <w:rsid w:val="006D471D"/>
    <w:rsid w:val="006D6D0C"/>
    <w:rsid w:val="006D751A"/>
    <w:rsid w:val="006E4AC5"/>
    <w:rsid w:val="006E58F3"/>
    <w:rsid w:val="006F0342"/>
    <w:rsid w:val="006F19D5"/>
    <w:rsid w:val="006F21D9"/>
    <w:rsid w:val="006F2A19"/>
    <w:rsid w:val="006F3A62"/>
    <w:rsid w:val="007000C3"/>
    <w:rsid w:val="0070063F"/>
    <w:rsid w:val="007026CB"/>
    <w:rsid w:val="00705B4A"/>
    <w:rsid w:val="00712B11"/>
    <w:rsid w:val="00713BD3"/>
    <w:rsid w:val="0071506A"/>
    <w:rsid w:val="00716336"/>
    <w:rsid w:val="00717F3A"/>
    <w:rsid w:val="00720E2C"/>
    <w:rsid w:val="00724C2B"/>
    <w:rsid w:val="00727031"/>
    <w:rsid w:val="007271A7"/>
    <w:rsid w:val="00733938"/>
    <w:rsid w:val="007342DE"/>
    <w:rsid w:val="00735E9E"/>
    <w:rsid w:val="007376A5"/>
    <w:rsid w:val="00737AA6"/>
    <w:rsid w:val="00740BC7"/>
    <w:rsid w:val="0074397C"/>
    <w:rsid w:val="00743BE2"/>
    <w:rsid w:val="00750B31"/>
    <w:rsid w:val="00756039"/>
    <w:rsid w:val="00760D4A"/>
    <w:rsid w:val="00762A74"/>
    <w:rsid w:val="007679AD"/>
    <w:rsid w:val="0078061F"/>
    <w:rsid w:val="00780B1A"/>
    <w:rsid w:val="007818BF"/>
    <w:rsid w:val="0078610A"/>
    <w:rsid w:val="00791412"/>
    <w:rsid w:val="00791C2A"/>
    <w:rsid w:val="007942AD"/>
    <w:rsid w:val="00795BF2"/>
    <w:rsid w:val="007A0A77"/>
    <w:rsid w:val="007A1D9E"/>
    <w:rsid w:val="007A343E"/>
    <w:rsid w:val="007B4434"/>
    <w:rsid w:val="007B5039"/>
    <w:rsid w:val="007B549C"/>
    <w:rsid w:val="007B57C3"/>
    <w:rsid w:val="007B6F61"/>
    <w:rsid w:val="007C0DB3"/>
    <w:rsid w:val="007C2EF4"/>
    <w:rsid w:val="007C32E5"/>
    <w:rsid w:val="007C7B04"/>
    <w:rsid w:val="007D435A"/>
    <w:rsid w:val="007D4AE6"/>
    <w:rsid w:val="007D4BBD"/>
    <w:rsid w:val="007E248C"/>
    <w:rsid w:val="007E556B"/>
    <w:rsid w:val="007E5F4B"/>
    <w:rsid w:val="007E6714"/>
    <w:rsid w:val="007E7B9F"/>
    <w:rsid w:val="007F4E49"/>
    <w:rsid w:val="0080080E"/>
    <w:rsid w:val="00802851"/>
    <w:rsid w:val="00804440"/>
    <w:rsid w:val="00807ED8"/>
    <w:rsid w:val="00815763"/>
    <w:rsid w:val="00815B91"/>
    <w:rsid w:val="00815E5B"/>
    <w:rsid w:val="00820AD7"/>
    <w:rsid w:val="008379FC"/>
    <w:rsid w:val="00837BA5"/>
    <w:rsid w:val="008455B4"/>
    <w:rsid w:val="00845609"/>
    <w:rsid w:val="008552EB"/>
    <w:rsid w:val="00860045"/>
    <w:rsid w:val="00860B14"/>
    <w:rsid w:val="008633F1"/>
    <w:rsid w:val="00870617"/>
    <w:rsid w:val="00873290"/>
    <w:rsid w:val="008779BC"/>
    <w:rsid w:val="0088120B"/>
    <w:rsid w:val="00881A8C"/>
    <w:rsid w:val="0088336A"/>
    <w:rsid w:val="0088435F"/>
    <w:rsid w:val="00885D06"/>
    <w:rsid w:val="00890B81"/>
    <w:rsid w:val="00891689"/>
    <w:rsid w:val="008933CC"/>
    <w:rsid w:val="0089607F"/>
    <w:rsid w:val="00897489"/>
    <w:rsid w:val="008A0CF0"/>
    <w:rsid w:val="008A665E"/>
    <w:rsid w:val="008B318A"/>
    <w:rsid w:val="008B769C"/>
    <w:rsid w:val="008C38DB"/>
    <w:rsid w:val="008C67E9"/>
    <w:rsid w:val="008C6812"/>
    <w:rsid w:val="008C6CBF"/>
    <w:rsid w:val="008D5B3B"/>
    <w:rsid w:val="008D7643"/>
    <w:rsid w:val="008E031D"/>
    <w:rsid w:val="008E26DC"/>
    <w:rsid w:val="008E439E"/>
    <w:rsid w:val="008E4F60"/>
    <w:rsid w:val="008E6557"/>
    <w:rsid w:val="008F0D30"/>
    <w:rsid w:val="008F338C"/>
    <w:rsid w:val="008F3D43"/>
    <w:rsid w:val="008F3D8B"/>
    <w:rsid w:val="008F4A40"/>
    <w:rsid w:val="00901822"/>
    <w:rsid w:val="0090606F"/>
    <w:rsid w:val="00907956"/>
    <w:rsid w:val="00912279"/>
    <w:rsid w:val="009202AA"/>
    <w:rsid w:val="0092286D"/>
    <w:rsid w:val="00924803"/>
    <w:rsid w:val="0092612C"/>
    <w:rsid w:val="009262EB"/>
    <w:rsid w:val="0092692E"/>
    <w:rsid w:val="009310E6"/>
    <w:rsid w:val="00931EBD"/>
    <w:rsid w:val="0093244F"/>
    <w:rsid w:val="0093799C"/>
    <w:rsid w:val="00944D57"/>
    <w:rsid w:val="00946B02"/>
    <w:rsid w:val="009470F0"/>
    <w:rsid w:val="00954809"/>
    <w:rsid w:val="0096063D"/>
    <w:rsid w:val="00961EBB"/>
    <w:rsid w:val="00963852"/>
    <w:rsid w:val="00963C5D"/>
    <w:rsid w:val="00963F38"/>
    <w:rsid w:val="0096692C"/>
    <w:rsid w:val="009702FF"/>
    <w:rsid w:val="00973826"/>
    <w:rsid w:val="00974598"/>
    <w:rsid w:val="00976FEE"/>
    <w:rsid w:val="0098129F"/>
    <w:rsid w:val="00994E17"/>
    <w:rsid w:val="00995D5F"/>
    <w:rsid w:val="00996FD5"/>
    <w:rsid w:val="009A2558"/>
    <w:rsid w:val="009B5E4E"/>
    <w:rsid w:val="009B6F62"/>
    <w:rsid w:val="009C1BFB"/>
    <w:rsid w:val="009C46F3"/>
    <w:rsid w:val="009C6B31"/>
    <w:rsid w:val="009D3F23"/>
    <w:rsid w:val="009D4DF3"/>
    <w:rsid w:val="009D62BA"/>
    <w:rsid w:val="009E1B23"/>
    <w:rsid w:val="009F023E"/>
    <w:rsid w:val="009F2662"/>
    <w:rsid w:val="009F456F"/>
    <w:rsid w:val="009F4572"/>
    <w:rsid w:val="00A03901"/>
    <w:rsid w:val="00A0504A"/>
    <w:rsid w:val="00A054DD"/>
    <w:rsid w:val="00A1177D"/>
    <w:rsid w:val="00A14563"/>
    <w:rsid w:val="00A17286"/>
    <w:rsid w:val="00A2175F"/>
    <w:rsid w:val="00A33B3B"/>
    <w:rsid w:val="00A36C30"/>
    <w:rsid w:val="00A3796B"/>
    <w:rsid w:val="00A42B5D"/>
    <w:rsid w:val="00A5155A"/>
    <w:rsid w:val="00A51C48"/>
    <w:rsid w:val="00A564EC"/>
    <w:rsid w:val="00A6574F"/>
    <w:rsid w:val="00A733F6"/>
    <w:rsid w:val="00A740B5"/>
    <w:rsid w:val="00A76845"/>
    <w:rsid w:val="00A7784F"/>
    <w:rsid w:val="00A82732"/>
    <w:rsid w:val="00A84A9C"/>
    <w:rsid w:val="00A84E11"/>
    <w:rsid w:val="00A863A6"/>
    <w:rsid w:val="00A87028"/>
    <w:rsid w:val="00A87468"/>
    <w:rsid w:val="00A91E8C"/>
    <w:rsid w:val="00A95852"/>
    <w:rsid w:val="00A966B7"/>
    <w:rsid w:val="00AA50BF"/>
    <w:rsid w:val="00AA62DC"/>
    <w:rsid w:val="00AB4F13"/>
    <w:rsid w:val="00AB65BB"/>
    <w:rsid w:val="00AC1A0B"/>
    <w:rsid w:val="00AC2AEF"/>
    <w:rsid w:val="00AC3011"/>
    <w:rsid w:val="00AC52DD"/>
    <w:rsid w:val="00AC69AC"/>
    <w:rsid w:val="00AD468E"/>
    <w:rsid w:val="00AE1A2A"/>
    <w:rsid w:val="00AF3A6D"/>
    <w:rsid w:val="00AF3D3E"/>
    <w:rsid w:val="00AF3E4A"/>
    <w:rsid w:val="00AF4745"/>
    <w:rsid w:val="00B01B51"/>
    <w:rsid w:val="00B04000"/>
    <w:rsid w:val="00B06B58"/>
    <w:rsid w:val="00B1547F"/>
    <w:rsid w:val="00B218FC"/>
    <w:rsid w:val="00B25EA9"/>
    <w:rsid w:val="00B333AC"/>
    <w:rsid w:val="00B379CE"/>
    <w:rsid w:val="00B41F14"/>
    <w:rsid w:val="00B42C1D"/>
    <w:rsid w:val="00B448A0"/>
    <w:rsid w:val="00B458E4"/>
    <w:rsid w:val="00B47368"/>
    <w:rsid w:val="00B50A1B"/>
    <w:rsid w:val="00B51F81"/>
    <w:rsid w:val="00B54B73"/>
    <w:rsid w:val="00B55D98"/>
    <w:rsid w:val="00B55D99"/>
    <w:rsid w:val="00B60DC9"/>
    <w:rsid w:val="00B64F22"/>
    <w:rsid w:val="00B657B1"/>
    <w:rsid w:val="00B67469"/>
    <w:rsid w:val="00B767B8"/>
    <w:rsid w:val="00B7708B"/>
    <w:rsid w:val="00B771B8"/>
    <w:rsid w:val="00B844D2"/>
    <w:rsid w:val="00B85ECC"/>
    <w:rsid w:val="00B94398"/>
    <w:rsid w:val="00B95153"/>
    <w:rsid w:val="00B96CD7"/>
    <w:rsid w:val="00BA0FF7"/>
    <w:rsid w:val="00BA1403"/>
    <w:rsid w:val="00BA15E4"/>
    <w:rsid w:val="00BA2DB9"/>
    <w:rsid w:val="00BA5062"/>
    <w:rsid w:val="00BB1985"/>
    <w:rsid w:val="00BB49E3"/>
    <w:rsid w:val="00BB52D6"/>
    <w:rsid w:val="00BC47E0"/>
    <w:rsid w:val="00BD279C"/>
    <w:rsid w:val="00BF257F"/>
    <w:rsid w:val="00C00DD6"/>
    <w:rsid w:val="00C04438"/>
    <w:rsid w:val="00C04F72"/>
    <w:rsid w:val="00C103CE"/>
    <w:rsid w:val="00C11B3A"/>
    <w:rsid w:val="00C1398B"/>
    <w:rsid w:val="00C14CB9"/>
    <w:rsid w:val="00C2108A"/>
    <w:rsid w:val="00C278F2"/>
    <w:rsid w:val="00C34E91"/>
    <w:rsid w:val="00C35BF3"/>
    <w:rsid w:val="00C37383"/>
    <w:rsid w:val="00C3780F"/>
    <w:rsid w:val="00C40945"/>
    <w:rsid w:val="00C4641A"/>
    <w:rsid w:val="00C5277A"/>
    <w:rsid w:val="00C574A3"/>
    <w:rsid w:val="00C658AC"/>
    <w:rsid w:val="00C715EB"/>
    <w:rsid w:val="00C72605"/>
    <w:rsid w:val="00C8019C"/>
    <w:rsid w:val="00C80D17"/>
    <w:rsid w:val="00C8320E"/>
    <w:rsid w:val="00C8487D"/>
    <w:rsid w:val="00C84C92"/>
    <w:rsid w:val="00C854F0"/>
    <w:rsid w:val="00C86BDA"/>
    <w:rsid w:val="00C86E03"/>
    <w:rsid w:val="00C947A2"/>
    <w:rsid w:val="00C95FC3"/>
    <w:rsid w:val="00C960AA"/>
    <w:rsid w:val="00C96C91"/>
    <w:rsid w:val="00C96E9B"/>
    <w:rsid w:val="00CA1AE2"/>
    <w:rsid w:val="00CA74AF"/>
    <w:rsid w:val="00CB0049"/>
    <w:rsid w:val="00CB2435"/>
    <w:rsid w:val="00CC2261"/>
    <w:rsid w:val="00CC2AE9"/>
    <w:rsid w:val="00CC6DED"/>
    <w:rsid w:val="00CC7113"/>
    <w:rsid w:val="00CD0C6C"/>
    <w:rsid w:val="00CD53C0"/>
    <w:rsid w:val="00CD7163"/>
    <w:rsid w:val="00CE2F2A"/>
    <w:rsid w:val="00CE3FCE"/>
    <w:rsid w:val="00CE4056"/>
    <w:rsid w:val="00CE4780"/>
    <w:rsid w:val="00CE6951"/>
    <w:rsid w:val="00CE7EE0"/>
    <w:rsid w:val="00CF3F34"/>
    <w:rsid w:val="00CF658E"/>
    <w:rsid w:val="00CF6BF6"/>
    <w:rsid w:val="00D05001"/>
    <w:rsid w:val="00D05418"/>
    <w:rsid w:val="00D111B6"/>
    <w:rsid w:val="00D139F0"/>
    <w:rsid w:val="00D20D2D"/>
    <w:rsid w:val="00D21608"/>
    <w:rsid w:val="00D21979"/>
    <w:rsid w:val="00D35A1A"/>
    <w:rsid w:val="00D36C7A"/>
    <w:rsid w:val="00D40697"/>
    <w:rsid w:val="00D41E5D"/>
    <w:rsid w:val="00D4576F"/>
    <w:rsid w:val="00D627B7"/>
    <w:rsid w:val="00D62A25"/>
    <w:rsid w:val="00D70B0B"/>
    <w:rsid w:val="00D727E4"/>
    <w:rsid w:val="00D737E1"/>
    <w:rsid w:val="00D73F56"/>
    <w:rsid w:val="00D84D65"/>
    <w:rsid w:val="00D92FCC"/>
    <w:rsid w:val="00D94DA3"/>
    <w:rsid w:val="00D964C5"/>
    <w:rsid w:val="00DA07FD"/>
    <w:rsid w:val="00DA1565"/>
    <w:rsid w:val="00DA442F"/>
    <w:rsid w:val="00DB18EE"/>
    <w:rsid w:val="00DB2228"/>
    <w:rsid w:val="00DB71D0"/>
    <w:rsid w:val="00DB7FB6"/>
    <w:rsid w:val="00DC0E03"/>
    <w:rsid w:val="00DC2DC7"/>
    <w:rsid w:val="00DC7F8E"/>
    <w:rsid w:val="00DD2D36"/>
    <w:rsid w:val="00DD6C9F"/>
    <w:rsid w:val="00DD6F48"/>
    <w:rsid w:val="00DE02D8"/>
    <w:rsid w:val="00DE2F5C"/>
    <w:rsid w:val="00DF4B38"/>
    <w:rsid w:val="00DF7765"/>
    <w:rsid w:val="00E03DB3"/>
    <w:rsid w:val="00E0577B"/>
    <w:rsid w:val="00E05D43"/>
    <w:rsid w:val="00E06F53"/>
    <w:rsid w:val="00E216CD"/>
    <w:rsid w:val="00E2224D"/>
    <w:rsid w:val="00E239FB"/>
    <w:rsid w:val="00E26600"/>
    <w:rsid w:val="00E31295"/>
    <w:rsid w:val="00E3439E"/>
    <w:rsid w:val="00E3511C"/>
    <w:rsid w:val="00E448E2"/>
    <w:rsid w:val="00E464BD"/>
    <w:rsid w:val="00E51061"/>
    <w:rsid w:val="00E521A0"/>
    <w:rsid w:val="00E54686"/>
    <w:rsid w:val="00E609DE"/>
    <w:rsid w:val="00E61213"/>
    <w:rsid w:val="00E639BB"/>
    <w:rsid w:val="00E73354"/>
    <w:rsid w:val="00E762A8"/>
    <w:rsid w:val="00E8363D"/>
    <w:rsid w:val="00E915FA"/>
    <w:rsid w:val="00E92918"/>
    <w:rsid w:val="00E94B02"/>
    <w:rsid w:val="00EA2028"/>
    <w:rsid w:val="00EA3913"/>
    <w:rsid w:val="00EA3CDB"/>
    <w:rsid w:val="00EA5F65"/>
    <w:rsid w:val="00EA7011"/>
    <w:rsid w:val="00EA7116"/>
    <w:rsid w:val="00EB079A"/>
    <w:rsid w:val="00EB54CF"/>
    <w:rsid w:val="00EC0A88"/>
    <w:rsid w:val="00EC0E2A"/>
    <w:rsid w:val="00EC2130"/>
    <w:rsid w:val="00EC22A7"/>
    <w:rsid w:val="00EC7382"/>
    <w:rsid w:val="00ED0732"/>
    <w:rsid w:val="00ED08BB"/>
    <w:rsid w:val="00EE23CA"/>
    <w:rsid w:val="00EE27C8"/>
    <w:rsid w:val="00EE3A50"/>
    <w:rsid w:val="00EE3DF5"/>
    <w:rsid w:val="00EE50D7"/>
    <w:rsid w:val="00EE5774"/>
    <w:rsid w:val="00EE643F"/>
    <w:rsid w:val="00EE672F"/>
    <w:rsid w:val="00EE7A4A"/>
    <w:rsid w:val="00EF0567"/>
    <w:rsid w:val="00EF2373"/>
    <w:rsid w:val="00EF241A"/>
    <w:rsid w:val="00EF4498"/>
    <w:rsid w:val="00EF4D0D"/>
    <w:rsid w:val="00EF77DB"/>
    <w:rsid w:val="00F26978"/>
    <w:rsid w:val="00F27817"/>
    <w:rsid w:val="00F36651"/>
    <w:rsid w:val="00F418F9"/>
    <w:rsid w:val="00F44C64"/>
    <w:rsid w:val="00F4663D"/>
    <w:rsid w:val="00F5069B"/>
    <w:rsid w:val="00F51857"/>
    <w:rsid w:val="00F53215"/>
    <w:rsid w:val="00F573E3"/>
    <w:rsid w:val="00F60EC8"/>
    <w:rsid w:val="00F61536"/>
    <w:rsid w:val="00F61B78"/>
    <w:rsid w:val="00F62226"/>
    <w:rsid w:val="00F62484"/>
    <w:rsid w:val="00F6573D"/>
    <w:rsid w:val="00F71D6D"/>
    <w:rsid w:val="00F83BE7"/>
    <w:rsid w:val="00F85D52"/>
    <w:rsid w:val="00F86EF1"/>
    <w:rsid w:val="00F96990"/>
    <w:rsid w:val="00FA16D6"/>
    <w:rsid w:val="00FA36F0"/>
    <w:rsid w:val="00FA3DD8"/>
    <w:rsid w:val="00FA67BE"/>
    <w:rsid w:val="00FB26D7"/>
    <w:rsid w:val="00FB596A"/>
    <w:rsid w:val="00FB5D12"/>
    <w:rsid w:val="00FB6180"/>
    <w:rsid w:val="00FB6B1B"/>
    <w:rsid w:val="00FC4CCC"/>
    <w:rsid w:val="00FC7DE9"/>
    <w:rsid w:val="00FD0103"/>
    <w:rsid w:val="00FD1ADC"/>
    <w:rsid w:val="00FD496A"/>
    <w:rsid w:val="00FD73FA"/>
    <w:rsid w:val="00FE0716"/>
    <w:rsid w:val="00FE3FA3"/>
    <w:rsid w:val="00FE7633"/>
    <w:rsid w:val="00FF2833"/>
    <w:rsid w:val="00FF4BEE"/>
    <w:rsid w:val="00FF79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790B9"/>
  <w15:docId w15:val="{D695E396-F590-47D4-ABB6-8F30CF0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4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440"/>
    <w:rPr>
      <w:rFonts w:ascii="Tahoma" w:hAnsi="Tahoma" w:cs="Tahoma"/>
      <w:sz w:val="16"/>
      <w:szCs w:val="16"/>
    </w:rPr>
  </w:style>
  <w:style w:type="table" w:styleId="a5">
    <w:name w:val="Table Grid"/>
    <w:basedOn w:val="a1"/>
    <w:uiPriority w:val="59"/>
    <w:rsid w:val="00F9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81B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1B4B"/>
  </w:style>
  <w:style w:type="paragraph" w:styleId="a8">
    <w:name w:val="footer"/>
    <w:basedOn w:val="a"/>
    <w:link w:val="a9"/>
    <w:uiPriority w:val="99"/>
    <w:unhideWhenUsed/>
    <w:rsid w:val="00581B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1B4B"/>
  </w:style>
  <w:style w:type="paragraph" w:styleId="aa">
    <w:name w:val="endnote text"/>
    <w:basedOn w:val="a"/>
    <w:link w:val="ab"/>
    <w:uiPriority w:val="99"/>
    <w:semiHidden/>
    <w:unhideWhenUsed/>
    <w:rsid w:val="00272E5D"/>
    <w:pPr>
      <w:spacing w:after="0" w:line="240" w:lineRule="auto"/>
    </w:pPr>
    <w:rPr>
      <w:sz w:val="20"/>
      <w:szCs w:val="20"/>
    </w:rPr>
  </w:style>
  <w:style w:type="character" w:customStyle="1" w:styleId="ab">
    <w:name w:val="Текст концевой сноски Знак"/>
    <w:basedOn w:val="a0"/>
    <w:link w:val="aa"/>
    <w:uiPriority w:val="99"/>
    <w:semiHidden/>
    <w:rsid w:val="00272E5D"/>
    <w:rPr>
      <w:sz w:val="20"/>
      <w:szCs w:val="20"/>
    </w:rPr>
  </w:style>
  <w:style w:type="character" w:styleId="ac">
    <w:name w:val="endnote reference"/>
    <w:basedOn w:val="a0"/>
    <w:uiPriority w:val="99"/>
    <w:semiHidden/>
    <w:unhideWhenUsed/>
    <w:rsid w:val="00272E5D"/>
    <w:rPr>
      <w:vertAlign w:val="superscript"/>
    </w:rPr>
  </w:style>
  <w:style w:type="paragraph" w:styleId="ad">
    <w:name w:val="footnote text"/>
    <w:basedOn w:val="a"/>
    <w:link w:val="ae"/>
    <w:uiPriority w:val="99"/>
    <w:unhideWhenUsed/>
    <w:rsid w:val="00272E5D"/>
    <w:pPr>
      <w:spacing w:after="0" w:line="240" w:lineRule="auto"/>
    </w:pPr>
    <w:rPr>
      <w:sz w:val="20"/>
      <w:szCs w:val="20"/>
    </w:rPr>
  </w:style>
  <w:style w:type="character" w:customStyle="1" w:styleId="ae">
    <w:name w:val="Текст сноски Знак"/>
    <w:basedOn w:val="a0"/>
    <w:link w:val="ad"/>
    <w:uiPriority w:val="99"/>
    <w:rsid w:val="00272E5D"/>
    <w:rPr>
      <w:sz w:val="20"/>
      <w:szCs w:val="20"/>
    </w:rPr>
  </w:style>
  <w:style w:type="character" w:styleId="af">
    <w:name w:val="footnote reference"/>
    <w:basedOn w:val="a0"/>
    <w:uiPriority w:val="99"/>
    <w:unhideWhenUsed/>
    <w:rsid w:val="00272E5D"/>
    <w:rPr>
      <w:vertAlign w:val="superscript"/>
    </w:rPr>
  </w:style>
  <w:style w:type="paragraph" w:styleId="af0">
    <w:name w:val="List Paragraph"/>
    <w:basedOn w:val="a"/>
    <w:uiPriority w:val="34"/>
    <w:qFormat/>
    <w:rsid w:val="00272E5D"/>
    <w:pPr>
      <w:ind w:left="720"/>
      <w:contextualSpacing/>
    </w:pPr>
  </w:style>
  <w:style w:type="paragraph" w:customStyle="1" w:styleId="TableUnit">
    <w:name w:val="Table Unit"/>
    <w:uiPriority w:val="99"/>
    <w:rsid w:val="002A05FF"/>
    <w:pPr>
      <w:spacing w:before="20" w:after="20" w:line="240" w:lineRule="auto"/>
    </w:pPr>
    <w:rPr>
      <w:rFonts w:ascii="Arial" w:eastAsia="Times New Roman" w:hAnsi="Arial" w:cs="Times New Roman"/>
      <w:sz w:val="16"/>
      <w:szCs w:val="20"/>
    </w:rPr>
  </w:style>
  <w:style w:type="paragraph" w:customStyle="1" w:styleId="TableData">
    <w:name w:val="Table Data"/>
    <w:uiPriority w:val="99"/>
    <w:rsid w:val="002A05FF"/>
    <w:pPr>
      <w:spacing w:before="20" w:after="20" w:line="240" w:lineRule="auto"/>
      <w:jc w:val="center"/>
    </w:pPr>
    <w:rPr>
      <w:rFonts w:ascii="Arial" w:eastAsia="Times New Roman" w:hAnsi="Arial" w:cs="Times New Roman"/>
      <w:sz w:val="16"/>
      <w:szCs w:val="20"/>
      <w:lang w:val="en-US"/>
    </w:rPr>
  </w:style>
  <w:style w:type="paragraph" w:customStyle="1" w:styleId="TableHead">
    <w:name w:val="Table Head"/>
    <w:basedOn w:val="a"/>
    <w:link w:val="TableHead0"/>
    <w:uiPriority w:val="99"/>
    <w:rsid w:val="002A05FF"/>
    <w:pPr>
      <w:keepNext/>
      <w:spacing w:before="360" w:after="120" w:line="240" w:lineRule="auto"/>
    </w:pPr>
    <w:rPr>
      <w:rFonts w:eastAsia="Times New Roman" w:cstheme="minorHAnsi"/>
      <w:b/>
      <w:bCs/>
      <w:color w:val="E36C0A" w:themeColor="accent6" w:themeShade="BF"/>
      <w:spacing w:val="-4"/>
      <w:lang w:eastAsia="ru-RU"/>
    </w:rPr>
  </w:style>
  <w:style w:type="character" w:customStyle="1" w:styleId="TableHead0">
    <w:name w:val="Table Head Знак Знак"/>
    <w:link w:val="TableHead"/>
    <w:uiPriority w:val="99"/>
    <w:locked/>
    <w:rsid w:val="002A05FF"/>
    <w:rPr>
      <w:rFonts w:eastAsia="Times New Roman" w:cstheme="minorHAnsi"/>
      <w:b/>
      <w:bCs/>
      <w:color w:val="E36C0A" w:themeColor="accent6" w:themeShade="BF"/>
      <w:spacing w:val="-4"/>
      <w:lang w:eastAsia="ru-RU"/>
    </w:rPr>
  </w:style>
  <w:style w:type="character" w:styleId="af1">
    <w:name w:val="annotation reference"/>
    <w:basedOn w:val="a0"/>
    <w:uiPriority w:val="99"/>
    <w:semiHidden/>
    <w:unhideWhenUsed/>
    <w:rsid w:val="00907956"/>
    <w:rPr>
      <w:sz w:val="16"/>
      <w:szCs w:val="16"/>
    </w:rPr>
  </w:style>
  <w:style w:type="paragraph" w:styleId="af2">
    <w:name w:val="annotation text"/>
    <w:basedOn w:val="a"/>
    <w:link w:val="af3"/>
    <w:uiPriority w:val="99"/>
    <w:semiHidden/>
    <w:unhideWhenUsed/>
    <w:rsid w:val="00907956"/>
    <w:pPr>
      <w:spacing w:line="240" w:lineRule="auto"/>
    </w:pPr>
    <w:rPr>
      <w:sz w:val="20"/>
      <w:szCs w:val="20"/>
    </w:rPr>
  </w:style>
  <w:style w:type="character" w:customStyle="1" w:styleId="af3">
    <w:name w:val="Текст примечания Знак"/>
    <w:basedOn w:val="a0"/>
    <w:link w:val="af2"/>
    <w:uiPriority w:val="99"/>
    <w:semiHidden/>
    <w:rsid w:val="00907956"/>
    <w:rPr>
      <w:sz w:val="20"/>
      <w:szCs w:val="20"/>
    </w:rPr>
  </w:style>
  <w:style w:type="paragraph" w:styleId="af4">
    <w:name w:val="annotation subject"/>
    <w:basedOn w:val="af2"/>
    <w:next w:val="af2"/>
    <w:link w:val="af5"/>
    <w:uiPriority w:val="99"/>
    <w:semiHidden/>
    <w:unhideWhenUsed/>
    <w:rsid w:val="00907956"/>
    <w:rPr>
      <w:b/>
      <w:bCs/>
    </w:rPr>
  </w:style>
  <w:style w:type="character" w:customStyle="1" w:styleId="af5">
    <w:name w:val="Тема примечания Знак"/>
    <w:basedOn w:val="af3"/>
    <w:link w:val="af4"/>
    <w:uiPriority w:val="99"/>
    <w:semiHidden/>
    <w:rsid w:val="00907956"/>
    <w:rPr>
      <w:b/>
      <w:bCs/>
      <w:sz w:val="20"/>
      <w:szCs w:val="20"/>
    </w:rPr>
  </w:style>
  <w:style w:type="character" w:styleId="af6">
    <w:name w:val="Hyperlink"/>
    <w:basedOn w:val="a0"/>
    <w:uiPriority w:val="99"/>
    <w:unhideWhenUsed/>
    <w:rsid w:val="00944D57"/>
    <w:rPr>
      <w:color w:val="0000FF" w:themeColor="hyperlink"/>
      <w:u w:val="single"/>
    </w:rPr>
  </w:style>
  <w:style w:type="paragraph" w:styleId="af7">
    <w:name w:val="Normal (Web)"/>
    <w:basedOn w:val="a"/>
    <w:uiPriority w:val="99"/>
    <w:semiHidden/>
    <w:unhideWhenUsed/>
    <w:rsid w:val="00487C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996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4F16F6"/>
    <w:pPr>
      <w:spacing w:after="0" w:line="240" w:lineRule="auto"/>
    </w:pPr>
  </w:style>
  <w:style w:type="paragraph" w:customStyle="1" w:styleId="GraphicSource">
    <w:name w:val="Graphic Source"/>
    <w:basedOn w:val="a"/>
    <w:link w:val="GraphicSource0"/>
    <w:uiPriority w:val="99"/>
    <w:rsid w:val="00E915FA"/>
    <w:pPr>
      <w:spacing w:before="20" w:after="240" w:line="240" w:lineRule="auto"/>
    </w:pPr>
    <w:rPr>
      <w:rFonts w:eastAsia="Times New Roman" w:cstheme="minorHAnsi"/>
      <w:sz w:val="16"/>
      <w:szCs w:val="20"/>
      <w:lang w:eastAsia="ru-RU"/>
    </w:rPr>
  </w:style>
  <w:style w:type="character" w:customStyle="1" w:styleId="GraphicSource0">
    <w:name w:val="Graphic Source Знак"/>
    <w:link w:val="GraphicSource"/>
    <w:uiPriority w:val="99"/>
    <w:locked/>
    <w:rsid w:val="00E915FA"/>
    <w:rPr>
      <w:rFonts w:eastAsia="Times New Roman" w:cstheme="minorHAnsi"/>
      <w:sz w:val="16"/>
      <w:szCs w:val="20"/>
      <w:lang w:eastAsia="ru-RU"/>
    </w:rPr>
  </w:style>
  <w:style w:type="paragraph" w:customStyle="1" w:styleId="GraphicHead">
    <w:name w:val="Graphic Head"/>
    <w:basedOn w:val="a"/>
    <w:link w:val="GraphicHead0"/>
    <w:uiPriority w:val="99"/>
    <w:rsid w:val="00E915FA"/>
    <w:pPr>
      <w:keepNext/>
      <w:spacing w:before="240" w:after="0" w:line="240" w:lineRule="auto"/>
    </w:pPr>
    <w:rPr>
      <w:rFonts w:eastAsia="Times New Roman" w:cstheme="minorHAnsi"/>
      <w:b/>
      <w:bCs/>
      <w:color w:val="E36C0A" w:themeColor="accent6" w:themeShade="BF"/>
      <w:spacing w:val="-4"/>
      <w:lang w:eastAsia="ru-RU"/>
    </w:rPr>
  </w:style>
  <w:style w:type="character" w:customStyle="1" w:styleId="GraphicHead0">
    <w:name w:val="Graphic Head Знак Знак"/>
    <w:link w:val="GraphicHead"/>
    <w:uiPriority w:val="99"/>
    <w:locked/>
    <w:rsid w:val="00E915FA"/>
    <w:rPr>
      <w:rFonts w:eastAsia="Times New Roman" w:cstheme="minorHAnsi"/>
      <w:b/>
      <w:bCs/>
      <w:color w:val="E36C0A" w:themeColor="accent6" w:themeShade="BF"/>
      <w:spacing w:val="-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86038">
      <w:bodyDiv w:val="1"/>
      <w:marLeft w:val="0"/>
      <w:marRight w:val="0"/>
      <w:marTop w:val="0"/>
      <w:marBottom w:val="0"/>
      <w:divBdr>
        <w:top w:val="none" w:sz="0" w:space="0" w:color="auto"/>
        <w:left w:val="none" w:sz="0" w:space="0" w:color="auto"/>
        <w:bottom w:val="none" w:sz="0" w:space="0" w:color="auto"/>
        <w:right w:val="none" w:sz="0" w:space="0" w:color="auto"/>
      </w:divBdr>
    </w:div>
    <w:div w:id="1150100143">
      <w:bodyDiv w:val="1"/>
      <w:marLeft w:val="0"/>
      <w:marRight w:val="0"/>
      <w:marTop w:val="0"/>
      <w:marBottom w:val="0"/>
      <w:divBdr>
        <w:top w:val="none" w:sz="0" w:space="0" w:color="auto"/>
        <w:left w:val="none" w:sz="0" w:space="0" w:color="auto"/>
        <w:bottom w:val="none" w:sz="0" w:space="0" w:color="auto"/>
        <w:right w:val="none" w:sz="0" w:space="0" w:color="auto"/>
      </w:divBdr>
    </w:div>
    <w:div w:id="17897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orbes.r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FFB67-BFB2-48C4-B5CC-7CEEF0D1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11789</Words>
  <Characters>67203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Ясин Евгений Григорьевич</dc:creator>
  <cp:lastModifiedBy>Колбас Елена Владимировна</cp:lastModifiedBy>
  <cp:revision>5</cp:revision>
  <cp:lastPrinted>2016-04-19T14:27:00Z</cp:lastPrinted>
  <dcterms:created xsi:type="dcterms:W3CDTF">2016-04-19T19:13:00Z</dcterms:created>
  <dcterms:modified xsi:type="dcterms:W3CDTF">2016-04-19T19:33:00Z</dcterms:modified>
</cp:coreProperties>
</file>